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D40A" w14:textId="6FC1CCE9" w:rsidR="00136D5A" w:rsidRPr="00C121FD" w:rsidRDefault="00136D5A" w:rsidP="00136D5A">
      <w:pPr>
        <w:spacing w:after="0"/>
        <w:jc w:val="center"/>
        <w:rPr>
          <w:rFonts w:ascii="Tahoma" w:hAnsi="Tahoma" w:cs="Tahoma"/>
          <w:b/>
          <w:bCs/>
        </w:rPr>
      </w:pPr>
      <w:r w:rsidRPr="00C121FD">
        <w:rPr>
          <w:rFonts w:ascii="Tahoma" w:hAnsi="Tahoma" w:cs="Tahoma"/>
          <w:b/>
          <w:bCs/>
        </w:rPr>
        <w:t xml:space="preserve">INDUSTRY NEWS </w:t>
      </w:r>
      <w:r w:rsidR="005C2D68">
        <w:rPr>
          <w:rFonts w:ascii="Tahoma" w:hAnsi="Tahoma" w:cs="Tahoma"/>
          <w:b/>
          <w:bCs/>
        </w:rPr>
        <w:t>AND</w:t>
      </w:r>
      <w:r w:rsidR="005C2D68" w:rsidRPr="00C121FD">
        <w:rPr>
          <w:rFonts w:ascii="Tahoma" w:hAnsi="Tahoma" w:cs="Tahoma"/>
          <w:b/>
          <w:bCs/>
        </w:rPr>
        <w:t xml:space="preserve"> </w:t>
      </w:r>
      <w:r w:rsidRPr="00C121FD">
        <w:rPr>
          <w:rFonts w:ascii="Tahoma" w:hAnsi="Tahoma" w:cs="Tahoma"/>
          <w:b/>
          <w:bCs/>
        </w:rPr>
        <w:t>ARTICLES</w:t>
      </w:r>
    </w:p>
    <w:p w14:paraId="5C78D057" w14:textId="40637488" w:rsidR="00136D5A" w:rsidRDefault="00BB0C70" w:rsidP="00883751">
      <w:pPr>
        <w:spacing w:after="0"/>
        <w:jc w:val="center"/>
        <w:rPr>
          <w:rFonts w:ascii="Tahoma" w:hAnsi="Tahoma" w:cs="Tahoma"/>
          <w:b/>
          <w:bCs/>
        </w:rPr>
      </w:pPr>
      <w:r>
        <w:rPr>
          <w:rFonts w:ascii="Tahoma" w:hAnsi="Tahoma" w:cs="Tahoma"/>
          <w:b/>
          <w:bCs/>
        </w:rPr>
        <w:t>5</w:t>
      </w:r>
      <w:r w:rsidRPr="00BB0C70">
        <w:rPr>
          <w:rFonts w:ascii="Tahoma" w:hAnsi="Tahoma" w:cs="Tahoma"/>
          <w:b/>
          <w:bCs/>
          <w:vertAlign w:val="superscript"/>
        </w:rPr>
        <w:t>th</w:t>
      </w:r>
      <w:r>
        <w:rPr>
          <w:rFonts w:ascii="Tahoma" w:hAnsi="Tahoma" w:cs="Tahoma"/>
          <w:b/>
          <w:bCs/>
        </w:rPr>
        <w:t xml:space="preserve"> </w:t>
      </w:r>
      <w:r w:rsidR="00EB2E20">
        <w:rPr>
          <w:rFonts w:ascii="Tahoma" w:hAnsi="Tahoma" w:cs="Tahoma"/>
          <w:b/>
          <w:bCs/>
        </w:rPr>
        <w:t>June</w:t>
      </w:r>
      <w:r w:rsidR="00136D5A" w:rsidRPr="00C121FD">
        <w:rPr>
          <w:rFonts w:ascii="Tahoma" w:hAnsi="Tahoma" w:cs="Tahoma"/>
          <w:b/>
          <w:bCs/>
        </w:rPr>
        <w:t xml:space="preserve"> 2026</w:t>
      </w:r>
    </w:p>
    <w:p w14:paraId="27A8278B" w14:textId="77777777" w:rsidR="00883751" w:rsidRPr="00883751" w:rsidRDefault="00883751" w:rsidP="00883751">
      <w:pPr>
        <w:spacing w:after="0"/>
        <w:jc w:val="center"/>
        <w:rPr>
          <w:rFonts w:ascii="Tahoma" w:hAnsi="Tahoma" w:cs="Tahoma"/>
          <w:b/>
          <w:bCs/>
        </w:rPr>
      </w:pPr>
    </w:p>
    <w:p w14:paraId="0B6C76F5" w14:textId="77777777" w:rsidR="00BB0C70" w:rsidRDefault="00BB0C70" w:rsidP="00136D5A">
      <w:pPr>
        <w:shd w:val="clear" w:color="auto" w:fill="FFFFFF"/>
        <w:spacing w:after="0" w:line="312" w:lineRule="auto"/>
        <w:rPr>
          <w:rFonts w:ascii="Tahoma" w:eastAsia="Times New Roman" w:hAnsi="Tahoma" w:cs="Tahoma"/>
          <w:b/>
          <w:bCs/>
          <w:lang w:val="en-GB"/>
        </w:rPr>
      </w:pPr>
      <w:r w:rsidRPr="00BB0C70">
        <w:rPr>
          <w:rFonts w:ascii="Tahoma" w:eastAsia="Times New Roman" w:hAnsi="Tahoma" w:cs="Tahoma"/>
          <w:b/>
          <w:bCs/>
          <w:lang w:val="en-GB"/>
        </w:rPr>
        <w:t>Reasons Why Finance Bill 2026 Proposal on Non-Resident Landlords Is a Step Towards Tax Equity</w:t>
      </w:r>
    </w:p>
    <w:p w14:paraId="3BB00F66" w14:textId="6BFD6333" w:rsidR="002F08DA" w:rsidRDefault="007C2984" w:rsidP="00136D5A">
      <w:pPr>
        <w:shd w:val="clear" w:color="auto" w:fill="FFFFFF"/>
        <w:spacing w:after="0" w:line="312" w:lineRule="auto"/>
        <w:rPr>
          <w:rFonts w:ascii="Tahoma" w:eastAsia="Times New Roman" w:hAnsi="Tahoma" w:cs="Tahoma"/>
          <w:b/>
          <w:bCs/>
          <w:lang w:val="en-GB"/>
        </w:rPr>
      </w:pPr>
      <w:r>
        <w:rPr>
          <w:rFonts w:ascii="Tahoma" w:eastAsia="Times New Roman" w:hAnsi="Tahoma" w:cs="Tahoma"/>
          <w:b/>
          <w:bCs/>
          <w:lang w:val="en-GB"/>
        </w:rPr>
        <w:t>B</w:t>
      </w:r>
      <w:r w:rsidRPr="007C2984">
        <w:rPr>
          <w:rFonts w:ascii="Tahoma" w:eastAsia="Times New Roman" w:hAnsi="Tahoma" w:cs="Tahoma"/>
          <w:b/>
          <w:bCs/>
          <w:lang w:val="en-GB"/>
        </w:rPr>
        <w:t xml:space="preserve">y </w:t>
      </w:r>
      <w:r w:rsidR="00BB0C70">
        <w:rPr>
          <w:rFonts w:ascii="Tahoma" w:eastAsia="Times New Roman" w:hAnsi="Tahoma" w:cs="Tahoma"/>
          <w:b/>
          <w:bCs/>
          <w:lang w:val="en-GB"/>
        </w:rPr>
        <w:t>Soko Directory</w:t>
      </w:r>
      <w:r w:rsidR="009A2248">
        <w:rPr>
          <w:rFonts w:ascii="Tahoma" w:eastAsia="Times New Roman" w:hAnsi="Tahoma" w:cs="Tahoma"/>
          <w:b/>
          <w:bCs/>
          <w:lang w:val="en-GB"/>
        </w:rPr>
        <w:t>,</w:t>
      </w:r>
    </w:p>
    <w:p w14:paraId="4780774D" w14:textId="06944FF5" w:rsidR="00883751" w:rsidRDefault="00EC4BC4" w:rsidP="00136D5A">
      <w:pPr>
        <w:shd w:val="clear" w:color="auto" w:fill="FFFFFF"/>
        <w:spacing w:after="0" w:line="312" w:lineRule="auto"/>
        <w:rPr>
          <w:rFonts w:ascii="Tahoma" w:hAnsi="Tahoma" w:cs="Tahoma"/>
        </w:rPr>
      </w:pPr>
      <w:r>
        <w:rPr>
          <w:rFonts w:ascii="Tahoma" w:eastAsia="Times New Roman" w:hAnsi="Tahoma" w:cs="Tahoma"/>
          <w:b/>
          <w:bCs/>
          <w:lang w:val="en-GB"/>
        </w:rPr>
        <w:t>(</w:t>
      </w:r>
      <w:r w:rsidR="00136D5A" w:rsidRPr="00C121FD">
        <w:rPr>
          <w:rFonts w:ascii="Tahoma" w:eastAsia="Times New Roman" w:hAnsi="Tahoma" w:cs="Tahoma"/>
          <w:b/>
          <w:bCs/>
          <w:lang w:val="en-GB"/>
        </w:rPr>
        <w:t xml:space="preserve">Link: </w:t>
      </w:r>
      <w:hyperlink r:id="rId7" w:history="1">
        <w:r w:rsidR="00BB0C70" w:rsidRPr="00BB0C70">
          <w:rPr>
            <w:rStyle w:val="Hyperlink"/>
            <w:rFonts w:ascii="Tahoma" w:hAnsi="Tahoma" w:cs="Tahoma"/>
          </w:rPr>
          <w:t>https://sokodirectory.com/2026/06/reasons-why-finance-bill-2026-proposal-on-non-resident-landlords-is-a-step-towards-tax-equity/</w:t>
        </w:r>
      </w:hyperlink>
      <w:r w:rsidR="00BB0C70">
        <w:t xml:space="preserve"> </w:t>
      </w:r>
      <w:r w:rsidRPr="00C26784">
        <w:rPr>
          <w:rFonts w:ascii="Tahoma" w:hAnsi="Tahoma" w:cs="Tahoma"/>
        </w:rPr>
        <w:t>)</w:t>
      </w:r>
    </w:p>
    <w:p w14:paraId="11700F9C" w14:textId="5D0FFDCF" w:rsidR="007C2984" w:rsidRDefault="00BB0C70" w:rsidP="00136D5A">
      <w:pPr>
        <w:shd w:val="clear" w:color="auto" w:fill="FFFFFF"/>
        <w:spacing w:after="0" w:line="312" w:lineRule="auto"/>
        <w:rPr>
          <w:rFonts w:ascii="Tahoma" w:hAnsi="Tahoma" w:cs="Tahoma"/>
        </w:rPr>
      </w:pPr>
      <w:r>
        <w:rPr>
          <w:noProof/>
        </w:rPr>
        <w:drawing>
          <wp:inline distT="0" distB="0" distL="0" distR="0" wp14:anchorId="542B95C5" wp14:editId="6B21D298">
            <wp:extent cx="5731510" cy="3815715"/>
            <wp:effectExtent l="0" t="0" r="2540" b="0"/>
            <wp:docPr id="914432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15715"/>
                    </a:xfrm>
                    <a:prstGeom prst="rect">
                      <a:avLst/>
                    </a:prstGeom>
                    <a:noFill/>
                    <a:ln>
                      <a:noFill/>
                    </a:ln>
                  </pic:spPr>
                </pic:pic>
              </a:graphicData>
            </a:graphic>
          </wp:inline>
        </w:drawing>
      </w:r>
    </w:p>
    <w:p w14:paraId="1E9C9BA3" w14:textId="77777777" w:rsidR="00BB0C70" w:rsidRDefault="00BB0C70" w:rsidP="00BB0C70">
      <w:pPr>
        <w:jc w:val="both"/>
        <w:rPr>
          <w:rFonts w:ascii="Tahoma" w:eastAsia="Times New Roman" w:hAnsi="Tahoma" w:cs="Tahoma"/>
          <w:i/>
          <w:iCs/>
          <w:sz w:val="20"/>
          <w:szCs w:val="20"/>
        </w:rPr>
      </w:pPr>
    </w:p>
    <w:p w14:paraId="1482A4D8" w14:textId="510DEF27" w:rsidR="00BB0C70" w:rsidRPr="00BB0C70" w:rsidRDefault="00BB0C70" w:rsidP="00BB0C70">
      <w:pPr>
        <w:jc w:val="both"/>
        <w:rPr>
          <w:rFonts w:ascii="Tahoma" w:eastAsia="Times New Roman" w:hAnsi="Tahoma" w:cs="Tahoma"/>
        </w:rPr>
      </w:pPr>
      <w:r w:rsidRPr="00BB0C70">
        <w:rPr>
          <w:rFonts w:ascii="Tahoma" w:eastAsia="Times New Roman" w:hAnsi="Tahoma" w:cs="Tahoma"/>
        </w:rPr>
        <w:t>The real estate sector remains one of Kenya’s most vibrant and important economic pillars. According to the Kenya National Bureau of Statistics (KNBS) 2023/2024 Real Estate Survey, the sector recorded an impressive growth rate of 33.7 percent, underscoring its critical role in wealth creation, investment, urban development, and employment generation.</w:t>
      </w:r>
    </w:p>
    <w:p w14:paraId="72FABDEB"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This remarkable growth has been driven by a rapidly expanding population, increased urbanization, and a growing middle class whose demand for residential and commercial properties continues to rise. Yet despite its significant contribution to the economy, the sector’s contribution to the national tax base remains extremely low.</w:t>
      </w:r>
    </w:p>
    <w:p w14:paraId="1854DD34"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 xml:space="preserve">The gap between the sector’s economic performance and its tax contribution is most evident in the administration of Monthly Rental Income (MRI) tax. Introduced in 2016, </w:t>
      </w:r>
      <w:r w:rsidRPr="00BB0C70">
        <w:rPr>
          <w:rFonts w:ascii="Tahoma" w:eastAsia="Times New Roman" w:hAnsi="Tahoma" w:cs="Tahoma"/>
        </w:rPr>
        <w:lastRenderedPageBreak/>
        <w:t>MRI applies to landlords earning between Ksh 288,000 and Ksh 15 million annually. While Kenya Revenue Authority (KRA) has undertaken numerous initiatives to improve compliance, significant challenges remain, particularly in identifying landlords and gaining visibility into rental transactions.</w:t>
      </w:r>
    </w:p>
    <w:p w14:paraId="20605AD3"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The numbers tell a compelling story. MRI collections stood at Ksh 12.3 billion in Financial Year 2021/2022, increased to Ksh 13.6 billion in FY 2022/2023, and reached Ksh 14.4 billion in FY 2023/2024. However, estimates indicate that the sector has the potential to generate more than Ksh 100 billion in tax revenue annually. This means that only about 14 percent of the potential revenue is currently being realized.</w:t>
      </w:r>
    </w:p>
    <w:p w14:paraId="2B890C39"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Such a gap points to a fundamental challenge, which is the absence of comprehensive structures and systems that ensure all landlords contribute their fair share of taxes. The result is an uneven playing field where compliant taxpayers shoulder an uneven burden while many eligible taxpayers remain outside the tax net.</w:t>
      </w:r>
    </w:p>
    <w:p w14:paraId="43A6A9B1"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To address these challenges, KRA has established various initiatives, including the recent introduction of the Electronic Rental Income Tax System (</w:t>
      </w:r>
      <w:proofErr w:type="spellStart"/>
      <w:r w:rsidRPr="00BB0C70">
        <w:rPr>
          <w:rFonts w:ascii="Tahoma" w:eastAsia="Times New Roman" w:hAnsi="Tahoma" w:cs="Tahoma"/>
        </w:rPr>
        <w:t>eRITS</w:t>
      </w:r>
      <w:proofErr w:type="spellEnd"/>
      <w:r w:rsidRPr="00BB0C70">
        <w:rPr>
          <w:rFonts w:ascii="Tahoma" w:eastAsia="Times New Roman" w:hAnsi="Tahoma" w:cs="Tahoma"/>
        </w:rPr>
        <w:t>), a digital platform designed to simplify rental income tax compliance and improve transparency within the sector.</w:t>
      </w:r>
    </w:p>
    <w:p w14:paraId="605BF3DC"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However, one of the most transformative proposals contained in the Finance Bill 2026 is the reform of the taxation framework for non-resident landlords.</w:t>
      </w:r>
    </w:p>
    <w:p w14:paraId="42A73708"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Historically, Kenya has relied primarily on withholding tax at the rate of 30 percent on gross rental income under Section 35 of the Income Tax Act as the principal mechanism for taxing non-resident property owners. In practice, this system has faced substantial limitations. Since the obligation to withhold tax rests largely with tenants or agents, compliance has often been inconsistent, creating opportunities for tax leakage.</w:t>
      </w:r>
    </w:p>
    <w:p w14:paraId="23F70E44"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Consequently, many non-resident landlords have remained outside the effective tax net, while resident landlords continue to bear direct responsibility for registration, filing returns, and remitting taxes. The outcome has been a clear imbalance in the treatment of taxpayers earning income from the same sector. The Finance Bill 2026 seeks to correct this imbalance.</w:t>
      </w:r>
    </w:p>
    <w:p w14:paraId="7AFD5F55"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Contrary to some misconceptions, the proposal does not introduce a new tax. Rather, it strengthens and formalizes compliance requirements by placing primary responsibility on non-resident landlords to register for tax, file returns, and account for their tax obligations directly.</w:t>
      </w:r>
    </w:p>
    <w:p w14:paraId="653F318B"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 xml:space="preserve">This shift from a purely withholding-based system to a hybrid compliance model is consistent with global best practices and aligns with recent reforms aimed at </w:t>
      </w:r>
      <w:r w:rsidRPr="00BB0C70">
        <w:rPr>
          <w:rFonts w:ascii="Tahoma" w:eastAsia="Times New Roman" w:hAnsi="Tahoma" w:cs="Tahoma"/>
        </w:rPr>
        <w:lastRenderedPageBreak/>
        <w:t>enhancing administrative efficiency, improving transparency, and reducing revenue leakage.</w:t>
      </w:r>
    </w:p>
    <w:p w14:paraId="445C9077"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More importantly, the proposal advances the principle of tax equity. Tax systems work best when taxpayers in similar economic circumstances are treated fairly and contribute according to the law. By bringing non-resident landlords into the formal compliance framework, Kenya will move closer to achieving a more balanced and equitable tax system.</w:t>
      </w:r>
    </w:p>
    <w:p w14:paraId="300EC21D"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The proposed reforms have the potential to significantly improve compliance levels across the real estate sector. Taxes will be assessed based on actual rental income, ensuring that taxpayers pay neither more nor less than what is legally due.</w:t>
      </w:r>
    </w:p>
    <w:p w14:paraId="41399CDD"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The Finance Bill 2026 proposal reflects a broader vision of a tax administration system that is fair, inclusive, transparent, and driven by integrity. Tax equity can only be achieved when all eligible taxpayers contribute their fair share toward national development.</w:t>
      </w:r>
    </w:p>
    <w:p w14:paraId="5A43AB51"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The proposed reforms will help create a level playing field in the real estate sector. This will eliminate situations where a small group of compliant taxpayers bears the burden while others benefit from the same economic opportunities without meeting their tax obligations.</w:t>
      </w:r>
    </w:p>
    <w:p w14:paraId="54EA8410"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The Finance Bill 2026 proposal on non-resident landlords is not merely a tax measure; it is a critical step towards building a culture of voluntary compliance, strengthening domestic revenue mobilization, and fostering a more equitable tax system for all.</w:t>
      </w:r>
    </w:p>
    <w:p w14:paraId="43D9424D" w14:textId="77777777" w:rsidR="00BB0C70" w:rsidRPr="00BB0C70" w:rsidRDefault="00BB0C70" w:rsidP="00BB0C70">
      <w:pPr>
        <w:jc w:val="both"/>
        <w:rPr>
          <w:rFonts w:ascii="Tahoma" w:eastAsia="Times New Roman" w:hAnsi="Tahoma" w:cs="Tahoma"/>
        </w:rPr>
      </w:pPr>
      <w:r w:rsidRPr="00BB0C70">
        <w:rPr>
          <w:rFonts w:ascii="Tahoma" w:eastAsia="Times New Roman" w:hAnsi="Tahoma" w:cs="Tahoma"/>
        </w:rPr>
        <w:t>Ultimately, a sustainable tax system is one where everyone pays their fair share and that is precisely what this reform seeks to achieve.</w:t>
      </w:r>
    </w:p>
    <w:p w14:paraId="4F3F855D" w14:textId="751777EB" w:rsidR="00EB2E20" w:rsidRPr="00C26784" w:rsidRDefault="00EB2E20" w:rsidP="00BB0C70">
      <w:pPr>
        <w:jc w:val="both"/>
        <w:rPr>
          <w:rFonts w:ascii="Tahoma" w:eastAsia="Times New Roman" w:hAnsi="Tahoma" w:cs="Tahoma"/>
        </w:rPr>
      </w:pPr>
    </w:p>
    <w:sectPr w:rsidR="00EB2E20" w:rsidRPr="00C26784" w:rsidSect="009A2248">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D4A8" w14:textId="77777777" w:rsidR="0033667A" w:rsidRDefault="0033667A" w:rsidP="00136D5A">
      <w:pPr>
        <w:spacing w:after="0" w:line="240" w:lineRule="auto"/>
      </w:pPr>
      <w:r>
        <w:separator/>
      </w:r>
    </w:p>
  </w:endnote>
  <w:endnote w:type="continuationSeparator" w:id="0">
    <w:p w14:paraId="3782F7B4" w14:textId="77777777" w:rsidR="0033667A" w:rsidRDefault="0033667A" w:rsidP="0013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D09F" w14:textId="77777777" w:rsidR="0033667A" w:rsidRDefault="0033667A" w:rsidP="00136D5A">
      <w:pPr>
        <w:spacing w:after="0" w:line="240" w:lineRule="auto"/>
      </w:pPr>
      <w:r>
        <w:separator/>
      </w:r>
    </w:p>
  </w:footnote>
  <w:footnote w:type="continuationSeparator" w:id="0">
    <w:p w14:paraId="3093D59A" w14:textId="77777777" w:rsidR="0033667A" w:rsidRDefault="0033667A" w:rsidP="0013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13CF" w14:textId="40CDEA85" w:rsidR="00136D5A" w:rsidRDefault="00136D5A" w:rsidP="00136D5A">
    <w:pPr>
      <w:pStyle w:val="Header"/>
      <w:jc w:val="center"/>
    </w:pPr>
    <w:r w:rsidRPr="00E80B5F">
      <w:rPr>
        <w:rFonts w:ascii="Tahoma" w:hAnsi="Tahoma" w:cs="Tahoma"/>
        <w:noProof/>
      </w:rPr>
      <w:drawing>
        <wp:inline distT="0" distB="0" distL="0" distR="0" wp14:anchorId="36AAB76D" wp14:editId="4E4BA989">
          <wp:extent cx="212598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40AB"/>
    <w:multiLevelType w:val="hybridMultilevel"/>
    <w:tmpl w:val="4A4A8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83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5A"/>
    <w:rsid w:val="00067477"/>
    <w:rsid w:val="000B3681"/>
    <w:rsid w:val="00136D5A"/>
    <w:rsid w:val="001A0A94"/>
    <w:rsid w:val="001B0DAB"/>
    <w:rsid w:val="002040EB"/>
    <w:rsid w:val="002445E9"/>
    <w:rsid w:val="002F08DA"/>
    <w:rsid w:val="00321686"/>
    <w:rsid w:val="0033667A"/>
    <w:rsid w:val="0037004E"/>
    <w:rsid w:val="003D0FA0"/>
    <w:rsid w:val="003E487D"/>
    <w:rsid w:val="00421E07"/>
    <w:rsid w:val="0046398F"/>
    <w:rsid w:val="0047185D"/>
    <w:rsid w:val="005804CF"/>
    <w:rsid w:val="00591095"/>
    <w:rsid w:val="005C2D68"/>
    <w:rsid w:val="005E1695"/>
    <w:rsid w:val="00624401"/>
    <w:rsid w:val="00666F4A"/>
    <w:rsid w:val="006C1748"/>
    <w:rsid w:val="006C75C9"/>
    <w:rsid w:val="00773566"/>
    <w:rsid w:val="00796C61"/>
    <w:rsid w:val="007A39F9"/>
    <w:rsid w:val="007C2984"/>
    <w:rsid w:val="007E3EE8"/>
    <w:rsid w:val="00802126"/>
    <w:rsid w:val="008035B7"/>
    <w:rsid w:val="008405A5"/>
    <w:rsid w:val="00883751"/>
    <w:rsid w:val="00905BA1"/>
    <w:rsid w:val="0094485E"/>
    <w:rsid w:val="00980A96"/>
    <w:rsid w:val="009A2248"/>
    <w:rsid w:val="009D6F56"/>
    <w:rsid w:val="00A20E4A"/>
    <w:rsid w:val="00A374E4"/>
    <w:rsid w:val="00AC103E"/>
    <w:rsid w:val="00BB0C70"/>
    <w:rsid w:val="00C121FD"/>
    <w:rsid w:val="00C26784"/>
    <w:rsid w:val="00C873C2"/>
    <w:rsid w:val="00C92D0E"/>
    <w:rsid w:val="00CA03B5"/>
    <w:rsid w:val="00CB508D"/>
    <w:rsid w:val="00CB7748"/>
    <w:rsid w:val="00DA4E42"/>
    <w:rsid w:val="00EA6267"/>
    <w:rsid w:val="00EB2E20"/>
    <w:rsid w:val="00EC4BC4"/>
    <w:rsid w:val="00ED62A6"/>
    <w:rsid w:val="00EF7D36"/>
    <w:rsid w:val="00F7728C"/>
    <w:rsid w:val="00FD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3182"/>
  <w15:chartTrackingRefBased/>
  <w15:docId w15:val="{115C8F8B-B88F-4A31-B847-CBEB467C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5A"/>
  </w:style>
  <w:style w:type="paragraph" w:styleId="Heading1">
    <w:name w:val="heading 1"/>
    <w:basedOn w:val="Normal"/>
    <w:next w:val="Normal"/>
    <w:link w:val="Heading1Char"/>
    <w:uiPriority w:val="9"/>
    <w:qFormat/>
    <w:rsid w:val="00136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D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D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D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D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D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D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D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D5A"/>
    <w:rPr>
      <w:rFonts w:eastAsiaTheme="majorEastAsia" w:cstheme="majorBidi"/>
      <w:color w:val="272727" w:themeColor="text1" w:themeTint="D8"/>
    </w:rPr>
  </w:style>
  <w:style w:type="paragraph" w:styleId="Title">
    <w:name w:val="Title"/>
    <w:basedOn w:val="Normal"/>
    <w:next w:val="Normal"/>
    <w:link w:val="TitleChar"/>
    <w:uiPriority w:val="10"/>
    <w:qFormat/>
    <w:rsid w:val="00136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D5A"/>
    <w:pPr>
      <w:spacing w:before="160"/>
      <w:jc w:val="center"/>
    </w:pPr>
    <w:rPr>
      <w:i/>
      <w:iCs/>
      <w:color w:val="404040" w:themeColor="text1" w:themeTint="BF"/>
    </w:rPr>
  </w:style>
  <w:style w:type="character" w:customStyle="1" w:styleId="QuoteChar">
    <w:name w:val="Quote Char"/>
    <w:basedOn w:val="DefaultParagraphFont"/>
    <w:link w:val="Quote"/>
    <w:uiPriority w:val="29"/>
    <w:rsid w:val="00136D5A"/>
    <w:rPr>
      <w:i/>
      <w:iCs/>
      <w:color w:val="404040" w:themeColor="text1" w:themeTint="BF"/>
    </w:rPr>
  </w:style>
  <w:style w:type="paragraph" w:styleId="ListParagraph">
    <w:name w:val="List Paragraph"/>
    <w:basedOn w:val="Normal"/>
    <w:uiPriority w:val="34"/>
    <w:qFormat/>
    <w:rsid w:val="00136D5A"/>
    <w:pPr>
      <w:ind w:left="720"/>
      <w:contextualSpacing/>
    </w:pPr>
  </w:style>
  <w:style w:type="character" w:styleId="IntenseEmphasis">
    <w:name w:val="Intense Emphasis"/>
    <w:basedOn w:val="DefaultParagraphFont"/>
    <w:uiPriority w:val="21"/>
    <w:qFormat/>
    <w:rsid w:val="00136D5A"/>
    <w:rPr>
      <w:i/>
      <w:iCs/>
      <w:color w:val="2F5496" w:themeColor="accent1" w:themeShade="BF"/>
    </w:rPr>
  </w:style>
  <w:style w:type="paragraph" w:styleId="IntenseQuote">
    <w:name w:val="Intense Quote"/>
    <w:basedOn w:val="Normal"/>
    <w:next w:val="Normal"/>
    <w:link w:val="IntenseQuoteChar"/>
    <w:uiPriority w:val="30"/>
    <w:qFormat/>
    <w:rsid w:val="00136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D5A"/>
    <w:rPr>
      <w:i/>
      <w:iCs/>
      <w:color w:val="2F5496" w:themeColor="accent1" w:themeShade="BF"/>
    </w:rPr>
  </w:style>
  <w:style w:type="character" w:styleId="IntenseReference">
    <w:name w:val="Intense Reference"/>
    <w:basedOn w:val="DefaultParagraphFont"/>
    <w:uiPriority w:val="32"/>
    <w:qFormat/>
    <w:rsid w:val="00136D5A"/>
    <w:rPr>
      <w:b/>
      <w:bCs/>
      <w:smallCaps/>
      <w:color w:val="2F5496" w:themeColor="accent1" w:themeShade="BF"/>
      <w:spacing w:val="5"/>
    </w:rPr>
  </w:style>
  <w:style w:type="character" w:styleId="Hyperlink">
    <w:name w:val="Hyperlink"/>
    <w:basedOn w:val="DefaultParagraphFont"/>
    <w:uiPriority w:val="99"/>
    <w:unhideWhenUsed/>
    <w:rsid w:val="00136D5A"/>
    <w:rPr>
      <w:color w:val="0563C1" w:themeColor="hyperlink"/>
      <w:u w:val="single"/>
    </w:rPr>
  </w:style>
  <w:style w:type="paragraph" w:styleId="Header">
    <w:name w:val="header"/>
    <w:basedOn w:val="Normal"/>
    <w:link w:val="HeaderChar"/>
    <w:uiPriority w:val="99"/>
    <w:unhideWhenUsed/>
    <w:rsid w:val="00136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D5A"/>
  </w:style>
  <w:style w:type="paragraph" w:styleId="Footer">
    <w:name w:val="footer"/>
    <w:basedOn w:val="Normal"/>
    <w:link w:val="FooterChar"/>
    <w:uiPriority w:val="99"/>
    <w:unhideWhenUsed/>
    <w:rsid w:val="00136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D5A"/>
  </w:style>
  <w:style w:type="character" w:styleId="UnresolvedMention">
    <w:name w:val="Unresolved Mention"/>
    <w:basedOn w:val="DefaultParagraphFont"/>
    <w:uiPriority w:val="99"/>
    <w:semiHidden/>
    <w:unhideWhenUsed/>
    <w:rsid w:val="00136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okodirectory.com/2026/06/reasons-why-finance-bill-2026-proposal-on-non-resident-landlords-is-a-step-towards-tax-equ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2026-06-05T05:23:00Z</dcterms:created>
  <dcterms:modified xsi:type="dcterms:W3CDTF">2026-06-05T05:23:00Z</dcterms:modified>
</cp:coreProperties>
</file>