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EE3D19" w:rsidP="000314F4" w14:paraId="45F456BE" w14:textId="77777777">
      <w:pPr>
        <w:rPr>
          <w:b/>
          <w:bCs/>
        </w:rPr>
      </w:pPr>
    </w:p>
    <w:p w:rsidR="00EE3D19" w:rsidP="000314F4" w14:paraId="137359D3" w14:textId="77777777">
      <w:pPr>
        <w:rPr>
          <w:b/>
          <w:bCs/>
        </w:rPr>
      </w:pPr>
    </w:p>
    <w:p w:rsidR="00EE3D19" w:rsidRPr="00EE3D19" w:rsidP="00EE3D19" w14:paraId="0406068D" w14:textId="00390B27">
      <w:pPr>
        <w:spacing w:line="360" w:lineRule="auto"/>
        <w:jc w:val="center"/>
        <w:rPr>
          <w:rFonts w:ascii="Times New Roman" w:hAnsi="Times New Roman" w:cs="Times New Roman"/>
          <w:b/>
          <w:bCs/>
        </w:rPr>
      </w:pPr>
      <w:r w:rsidRPr="00EE3D19">
        <w:rPr>
          <w:rFonts w:ascii="Times New Roman" w:hAnsi="Times New Roman" w:cs="Times New Roman"/>
          <w:b/>
          <w:bCs/>
        </w:rPr>
        <w:t>UNCERTAINTY IN LAND MARKETS ARISING FROM SUCCESSION PROCESSES IN KENYA:</w:t>
      </w:r>
      <w:r>
        <w:rPr>
          <w:rFonts w:ascii="Times New Roman" w:hAnsi="Times New Roman" w:cs="Times New Roman"/>
          <w:b/>
          <w:bCs/>
        </w:rPr>
        <w:t xml:space="preserve"> </w:t>
      </w:r>
      <w:r w:rsidRPr="00EE3D19">
        <w:rPr>
          <w:rFonts w:ascii="Times New Roman" w:hAnsi="Times New Roman" w:cs="Times New Roman"/>
          <w:b/>
          <w:bCs/>
        </w:rPr>
        <w:t>IMPLICATIONS OF THE “ROOT OF TITLE” DOCTRINE ON INNOCENT PURCHASERS</w:t>
      </w:r>
    </w:p>
    <w:p w:rsidR="00EE3D19" w:rsidRPr="00EE3D19" w:rsidP="00EE3D19" w14:paraId="7635F7D5" w14:textId="77777777">
      <w:pPr>
        <w:spacing w:line="360" w:lineRule="auto"/>
        <w:jc w:val="both"/>
        <w:rPr>
          <w:rFonts w:ascii="Times New Roman" w:hAnsi="Times New Roman" w:cs="Times New Roman"/>
        </w:rPr>
      </w:pPr>
      <w:r w:rsidRPr="00EE3D19">
        <w:rPr>
          <w:rFonts w:ascii="Times New Roman" w:hAnsi="Times New Roman" w:cs="Times New Roman"/>
        </w:rPr>
        <w:t>Evans Irungu Mutugi, MISK</w:t>
      </w:r>
    </w:p>
    <w:p w:rsidR="00EE3D19" w:rsidRPr="00EE3D19" w:rsidP="00EE3D19" w14:paraId="0F719174" w14:textId="77777777">
      <w:pPr>
        <w:spacing w:line="360" w:lineRule="auto"/>
        <w:jc w:val="both"/>
        <w:rPr>
          <w:rFonts w:ascii="Times New Roman" w:hAnsi="Times New Roman" w:cs="Times New Roman"/>
        </w:rPr>
      </w:pPr>
      <w:r w:rsidRPr="00EE3D19">
        <w:rPr>
          <w:rFonts w:ascii="Times New Roman" w:hAnsi="Times New Roman" w:cs="Times New Roman"/>
        </w:rPr>
        <w:t>Dip. Land Surveying (KISM)</w:t>
      </w:r>
    </w:p>
    <w:p w:rsidR="00EE3D19" w:rsidRPr="00EE3D19" w:rsidP="00EE3D19" w14:paraId="12E5D859" w14:textId="77777777">
      <w:pPr>
        <w:spacing w:line="360" w:lineRule="auto"/>
        <w:jc w:val="both"/>
        <w:rPr>
          <w:rFonts w:ascii="Times New Roman" w:hAnsi="Times New Roman" w:cs="Times New Roman"/>
        </w:rPr>
      </w:pPr>
      <w:r w:rsidRPr="00EE3D19">
        <w:rPr>
          <w:rFonts w:ascii="Times New Roman" w:hAnsi="Times New Roman" w:cs="Times New Roman"/>
        </w:rPr>
        <w:t>B.Tech Surveying (TUK)</w:t>
      </w:r>
    </w:p>
    <w:p w:rsidR="00EE3D19" w:rsidP="00EE3D19" w14:paraId="1BC7320C" w14:textId="16A99392">
      <w:pPr>
        <w:spacing w:line="360" w:lineRule="auto"/>
        <w:jc w:val="both"/>
        <w:rPr>
          <w:rFonts w:ascii="Times New Roman" w:hAnsi="Times New Roman" w:cs="Times New Roman"/>
        </w:rPr>
      </w:pPr>
      <w:r w:rsidRPr="00EE3D19">
        <w:rPr>
          <w:rFonts w:ascii="Times New Roman" w:hAnsi="Times New Roman" w:cs="Times New Roman"/>
        </w:rPr>
        <w:t>MSc Land Administration (TUK – Continuing)</w:t>
      </w:r>
    </w:p>
    <w:p w:rsidR="00EE3D19" w:rsidRPr="00EE3D19" w:rsidP="00EE3D19" w14:paraId="7DCB637A" w14:textId="32A68A07">
      <w:pPr>
        <w:pStyle w:val="Heading1"/>
        <w:spacing w:line="360" w:lineRule="auto"/>
        <w:jc w:val="center"/>
        <w:rPr>
          <w:rFonts w:ascii="Times New Roman" w:hAnsi="Times New Roman" w:cs="Times New Roman"/>
          <w:b/>
          <w:bCs/>
          <w:color w:val="auto"/>
          <w:sz w:val="28"/>
          <w:szCs w:val="28"/>
        </w:rPr>
      </w:pPr>
      <w:r w:rsidRPr="00EE3D19">
        <w:rPr>
          <w:rFonts w:ascii="Times New Roman" w:hAnsi="Times New Roman" w:cs="Times New Roman"/>
          <w:b/>
          <w:bCs/>
          <w:color w:val="auto"/>
          <w:sz w:val="28"/>
          <w:szCs w:val="28"/>
        </w:rPr>
        <w:t>ABSTRACT</w:t>
      </w:r>
    </w:p>
    <w:p w:rsidR="00EE3D19" w:rsidRPr="00EE3D19" w:rsidP="00EE3D19" w14:paraId="7EB43554" w14:textId="77777777">
      <w:pPr>
        <w:spacing w:line="360" w:lineRule="auto"/>
        <w:jc w:val="both"/>
        <w:rPr>
          <w:rFonts w:ascii="Times New Roman" w:hAnsi="Times New Roman" w:cs="Times New Roman"/>
        </w:rPr>
      </w:pPr>
      <w:r w:rsidRPr="00EE3D19">
        <w:rPr>
          <w:rFonts w:ascii="Times New Roman" w:hAnsi="Times New Roman" w:cs="Times New Roman"/>
        </w:rPr>
        <w:t>Certainty of title is fundamental to the stability and liquidity of land markets. In Kenya, recent jurisprudence affirming that a registered title is only as valid as the process through which it was obtained has strengthened accountability within land administration. However, its application to succession-derived land has introduced structural uncertainty for third-party purchasers who rely on confirmed grants and registered titles. Given that a substantial proportion of land changes hands through succession, revocation of grants years after transmission can destabilize derivative transactions, affect survey records, impair mortgage security, and weaken confidence in the registration system.</w:t>
      </w:r>
    </w:p>
    <w:p w:rsidR="00EE3D19" w:rsidRPr="00EE3D19" w:rsidP="00EE3D19" w14:paraId="116129EB" w14:textId="276D8ED7">
      <w:pPr>
        <w:spacing w:line="360" w:lineRule="auto"/>
        <w:jc w:val="both"/>
        <w:rPr>
          <w:rFonts w:ascii="Times New Roman" w:hAnsi="Times New Roman" w:cs="Times New Roman"/>
        </w:rPr>
      </w:pPr>
      <w:r w:rsidRPr="00EE3D19">
        <w:rPr>
          <w:rFonts w:ascii="Times New Roman" w:hAnsi="Times New Roman" w:cs="Times New Roman"/>
        </w:rPr>
        <w:t xml:space="preserve">This </w:t>
      </w:r>
      <w:r>
        <w:rPr>
          <w:rFonts w:ascii="Times New Roman" w:hAnsi="Times New Roman" w:cs="Times New Roman"/>
        </w:rPr>
        <w:t>article</w:t>
      </w:r>
      <w:r w:rsidRPr="00EE3D19">
        <w:rPr>
          <w:rFonts w:ascii="Times New Roman" w:hAnsi="Times New Roman" w:cs="Times New Roman"/>
        </w:rPr>
        <w:t xml:space="preserve"> examines the tension between the doctrine of indefeasibility under Kenya’s Torrens-inspired framework and the revocation powers under succession law. It analyses the practical exposure of innocent purchasers, the implications for survey practice and land administration, and the broader effects on built environment investment. The paper argues that while corrective justice in inheritance disputes must be preserved, registration certainty must retain substantive meaning to sustain market confidence. It proposes calibrated reforms, including limitation periods for revocation, strengthened state indemnity mechanisms, enhanced probate–land registry integration, and improved administrative safeguards, to reconcile integrity with stability in Kenya’s land governance framework.</w:t>
      </w:r>
    </w:p>
    <w:p w:rsidR="000314F4" w:rsidRPr="00C85105" w:rsidP="00C85105" w14:paraId="65B00C1F" w14:textId="674C7158">
      <w:pPr>
        <w:pStyle w:val="Heading1"/>
        <w:spacing w:line="360" w:lineRule="auto"/>
        <w:jc w:val="center"/>
        <w:rPr>
          <w:rFonts w:ascii="Times New Roman" w:hAnsi="Times New Roman" w:cs="Times New Roman"/>
          <w:b/>
          <w:bCs/>
          <w:color w:val="auto"/>
          <w:sz w:val="28"/>
          <w:szCs w:val="28"/>
        </w:rPr>
      </w:pPr>
      <w:r w:rsidRPr="00C85105">
        <w:rPr>
          <w:rFonts w:ascii="Times New Roman" w:hAnsi="Times New Roman" w:cs="Times New Roman"/>
          <w:b/>
          <w:bCs/>
          <w:color w:val="auto"/>
          <w:sz w:val="28"/>
          <w:szCs w:val="28"/>
        </w:rPr>
        <w:t>Introduction: Title Certainty as the Foundation of Land Markets</w:t>
      </w:r>
    </w:p>
    <w:p w:rsidR="000314F4" w:rsidRPr="000314F4" w:rsidP="00EE3D19" w14:paraId="2DCDDEC6" w14:textId="77777777">
      <w:pPr>
        <w:spacing w:line="360" w:lineRule="auto"/>
        <w:jc w:val="both"/>
        <w:rPr>
          <w:rFonts w:ascii="Times New Roman" w:hAnsi="Times New Roman" w:cs="Times New Roman"/>
        </w:rPr>
      </w:pPr>
      <w:r w:rsidRPr="000314F4">
        <w:rPr>
          <w:rFonts w:ascii="Times New Roman" w:hAnsi="Times New Roman" w:cs="Times New Roman"/>
        </w:rPr>
        <w:t>Land is the most economically and socially significant asset in Kenya. It underpins agricultural production, urban development, infrastructure expansion, access to credit, and intergenerational wealth transfer. The effective functioning of land markets, therefore, depends on one central principle: certainty of title. When ownership is clear and reliable, transactions proceed smoothly, investment decisions are made confidently, and development can occur without prolonged risk exposure.</w:t>
      </w:r>
    </w:p>
    <w:p w:rsidR="000314F4" w:rsidRPr="000314F4" w:rsidP="00EE3D19" w14:paraId="4DE81FC8" w14:textId="77777777">
      <w:pPr>
        <w:spacing w:line="360" w:lineRule="auto"/>
        <w:jc w:val="both"/>
        <w:rPr>
          <w:rFonts w:ascii="Times New Roman" w:hAnsi="Times New Roman" w:cs="Times New Roman"/>
        </w:rPr>
      </w:pPr>
      <w:r w:rsidRPr="000314F4">
        <w:rPr>
          <w:rFonts w:ascii="Times New Roman" w:hAnsi="Times New Roman" w:cs="Times New Roman"/>
        </w:rPr>
        <w:t>Kenya’s land registration system, founded on Torrens-inspired principles and codified under the Land Registration Act, is designed to provide this certainty. The doctrine of indefeasibility assures that a registered proprietor holds a title that can be relied upon by third parties. In practical terms, survey instructions, mutation exercises, subdivision approvals, valuation reports, mortgage financing, and development planning all proceed on the assumption that the land register reflects a stable and legally secure proprietary interest. The register is not merely an administrative record; it is a foundation for economic activity.</w:t>
      </w:r>
    </w:p>
    <w:p w:rsidR="00F2036F" w:rsidRPr="00F2036F" w:rsidP="00EE3D19" w14:paraId="410C6BC1" w14:textId="77777777">
      <w:pPr>
        <w:spacing w:line="360" w:lineRule="auto"/>
        <w:jc w:val="both"/>
        <w:rPr>
          <w:rFonts w:ascii="Times New Roman" w:hAnsi="Times New Roman" w:cs="Times New Roman"/>
        </w:rPr>
      </w:pPr>
      <w:r w:rsidRPr="00F2036F">
        <w:rPr>
          <w:rFonts w:ascii="Times New Roman" w:hAnsi="Times New Roman" w:cs="Times New Roman"/>
        </w:rPr>
        <w:t>Recent jurisprudence, however, has introduced a more process-oriented scrutiny of title. The Supreme Court’s articulation that a registered title is “only as good as the process through which it was obtained” reinforces legality and accountability in land governance. While this strengthens institutional integrity, it also extends judicial inquiry beyond the face of the register to the historical legality of acquisition. This development has particular significance for land transmitted through succession.</w:t>
      </w:r>
    </w:p>
    <w:p w:rsidR="00F2036F" w:rsidRPr="00F2036F" w:rsidP="00EE3D19" w14:paraId="148E96F2" w14:textId="77777777">
      <w:pPr>
        <w:spacing w:line="360" w:lineRule="auto"/>
        <w:jc w:val="both"/>
        <w:rPr>
          <w:rFonts w:ascii="Times New Roman" w:hAnsi="Times New Roman" w:cs="Times New Roman"/>
        </w:rPr>
      </w:pPr>
      <w:r w:rsidRPr="00F2036F">
        <w:rPr>
          <w:rFonts w:ascii="Times New Roman" w:hAnsi="Times New Roman" w:cs="Times New Roman"/>
        </w:rPr>
        <w:t>A substantial proportion of registered land in Kenya changes hands following transmission under the Law of Succession Act. After confirmation of the grant, beneficiaries are registered as proprietors and may transfer their interests to third parties. In practice, purchasers conduct official searches, review grant documentation, engage advocates, and rely on the register when completing transactions. Yet where confirmed grants are later revoked—often due to omission of beneficiaries or procedural defects—derivative transactions may be invalidated years after registration.</w:t>
      </w:r>
    </w:p>
    <w:p w:rsidR="00F2036F" w:rsidRPr="00F2036F" w:rsidP="00EE3D19" w14:paraId="3D416E7F" w14:textId="77777777">
      <w:pPr>
        <w:spacing w:line="360" w:lineRule="auto"/>
        <w:jc w:val="both"/>
        <w:rPr>
          <w:rFonts w:ascii="Times New Roman" w:hAnsi="Times New Roman" w:cs="Times New Roman"/>
        </w:rPr>
      </w:pPr>
      <w:r w:rsidRPr="00F2036F">
        <w:rPr>
          <w:rFonts w:ascii="Times New Roman" w:hAnsi="Times New Roman" w:cs="Times New Roman"/>
        </w:rPr>
        <w:t xml:space="preserve">The result is a growing tension between two legitimate objectives of the legal system: corrective justice for excluded heirs and security of tenure for innocent purchasers. The implications extend </w:t>
      </w:r>
      <w:r w:rsidRPr="00F2036F">
        <w:rPr>
          <w:rFonts w:ascii="Times New Roman" w:hAnsi="Times New Roman" w:cs="Times New Roman"/>
        </w:rPr>
        <w:t>beyond private disputes. They affect land liquidity, mortgage security, professional liability, and confidence in the registration system itself.</w:t>
      </w:r>
    </w:p>
    <w:p w:rsidR="00F2036F" w:rsidRPr="00F2036F" w:rsidP="00EE3D19" w14:paraId="1238DAE7" w14:textId="77777777">
      <w:pPr>
        <w:spacing w:line="360" w:lineRule="auto"/>
        <w:jc w:val="both"/>
        <w:rPr>
          <w:rFonts w:ascii="Times New Roman" w:hAnsi="Times New Roman" w:cs="Times New Roman"/>
        </w:rPr>
      </w:pPr>
      <w:r w:rsidRPr="00F2036F">
        <w:rPr>
          <w:rFonts w:ascii="Times New Roman" w:hAnsi="Times New Roman" w:cs="Times New Roman"/>
        </w:rPr>
        <w:t>This paper examines how the expanding application of the “root of title” doctrine to succession-derived land generates uncertainty within Kenya’s land registration framework. It analyses the structural vulnerability of innocent purchasers, considers the implications for land administration and professional practice, and proposes reforms aimed at preserving both integrity and certainty in the land market.</w:t>
      </w:r>
    </w:p>
    <w:p w:rsidR="00A953A6" w:rsidRPr="00EE3D19" w:rsidP="008072D6" w14:paraId="71F41575" w14:textId="50F39C1D">
      <w:pPr>
        <w:pStyle w:val="Heading1"/>
        <w:spacing w:line="360" w:lineRule="auto"/>
        <w:jc w:val="center"/>
        <w:rPr>
          <w:rFonts w:ascii="Times New Roman" w:hAnsi="Times New Roman" w:cs="Times New Roman"/>
          <w:b/>
          <w:bCs/>
          <w:color w:val="auto"/>
          <w:sz w:val="28"/>
          <w:szCs w:val="28"/>
        </w:rPr>
      </w:pPr>
      <w:r w:rsidRPr="00EE3D19">
        <w:rPr>
          <w:rFonts w:ascii="Times New Roman" w:hAnsi="Times New Roman" w:cs="Times New Roman"/>
          <w:b/>
          <w:bCs/>
          <w:color w:val="auto"/>
          <w:sz w:val="28"/>
          <w:szCs w:val="28"/>
        </w:rPr>
        <w:t>Kenya’s Land Registration Framework and the Principle of Indefeasibility</w:t>
      </w:r>
    </w:p>
    <w:p w:rsidR="00A953A6" w:rsidRPr="00A953A6" w:rsidP="00EE3D19" w14:paraId="3BE82A3B" w14:textId="77777777">
      <w:pPr>
        <w:spacing w:line="360" w:lineRule="auto"/>
        <w:jc w:val="both"/>
        <w:rPr>
          <w:rFonts w:ascii="Times New Roman" w:hAnsi="Times New Roman" w:cs="Times New Roman"/>
        </w:rPr>
      </w:pPr>
      <w:r w:rsidRPr="00A953A6">
        <w:rPr>
          <w:rFonts w:ascii="Times New Roman" w:hAnsi="Times New Roman" w:cs="Times New Roman"/>
        </w:rPr>
        <w:t>Kenya’s land registration system is anchored in a Torrens-inspired model that prioritizes certainty, simplicity, and reliability of title. Codified principally under the Land Registration Act, the system is designed to ensure that interests in land are ascertainable from the register and that registered proprietors enjoy protection against unregistered claims, subject only to limited statutory exceptions. This framework seeks to reduce transaction risk, minimize historical investigations into ownership, and facilitate efficient land markets.</w:t>
      </w:r>
    </w:p>
    <w:p w:rsidR="00A953A6" w:rsidRPr="00A953A6" w:rsidP="00EE3D19" w14:paraId="54A8F5AB" w14:textId="77777777">
      <w:pPr>
        <w:spacing w:line="360" w:lineRule="auto"/>
        <w:jc w:val="both"/>
        <w:rPr>
          <w:rFonts w:ascii="Times New Roman" w:hAnsi="Times New Roman" w:cs="Times New Roman"/>
        </w:rPr>
      </w:pPr>
      <w:r w:rsidRPr="00A953A6">
        <w:rPr>
          <w:rFonts w:ascii="Times New Roman" w:hAnsi="Times New Roman" w:cs="Times New Roman"/>
        </w:rPr>
        <w:t>At the core of this system lies the doctrine of indefeasibility. Section 26(1) of the Land Registration Act provides that a certificate of title shall be taken as prima facie evidence that the person named as proprietor is the absolute and indefeasible owner, subject only to encumbrances noted in the register. This provision is not merely technical; it performs a critical economic function. By assuring purchasers and lenders that the register can be relied upon, it lowers transaction costs and enables land to serve as secure collateral within the credit system.</w:t>
      </w:r>
    </w:p>
    <w:p w:rsidR="00A953A6" w:rsidRPr="00A953A6" w:rsidP="00EE3D19" w14:paraId="0B9E3C77" w14:textId="77777777">
      <w:pPr>
        <w:spacing w:line="360" w:lineRule="auto"/>
        <w:jc w:val="both"/>
        <w:rPr>
          <w:rFonts w:ascii="Times New Roman" w:hAnsi="Times New Roman" w:cs="Times New Roman"/>
        </w:rPr>
      </w:pPr>
      <w:r w:rsidRPr="00A953A6">
        <w:rPr>
          <w:rFonts w:ascii="Times New Roman" w:hAnsi="Times New Roman" w:cs="Times New Roman"/>
        </w:rPr>
        <w:t>Indefeasibility, however, is not absolute. The statute allows title to be challenged where it is shown to have been obtained through fraud, misrepresentation, illegality, or unprocedural acquisition. These exceptions serve an important corrective function by preventing abuse of the registration system. They ensure that the register does not become a shield for fraudulent or unlawful conduct.</w:t>
      </w:r>
    </w:p>
    <w:p w:rsidR="00A953A6" w:rsidRPr="00A953A6" w:rsidP="00EE3D19" w14:paraId="508264AA" w14:textId="77777777">
      <w:pPr>
        <w:spacing w:line="360" w:lineRule="auto"/>
        <w:jc w:val="both"/>
        <w:rPr>
          <w:rFonts w:ascii="Times New Roman" w:hAnsi="Times New Roman" w:cs="Times New Roman"/>
        </w:rPr>
      </w:pPr>
      <w:r w:rsidRPr="00A953A6">
        <w:rPr>
          <w:rFonts w:ascii="Times New Roman" w:hAnsi="Times New Roman" w:cs="Times New Roman"/>
        </w:rPr>
        <w:t>Recent judicial interpretation has emphasized this corrective dimension. In affirming that a registered title is only as valid as the process through which it was acquired, the Supreme Court underscored that registration cannot sanitize illegality. This articulation reinforces the principle that legality in acquisition is foundational to the legitimacy of registered interests.</w:t>
      </w:r>
    </w:p>
    <w:p w:rsidR="00A953A6" w:rsidRPr="00A953A6" w:rsidP="00EE3D19" w14:paraId="54A26132" w14:textId="77777777">
      <w:pPr>
        <w:spacing w:line="360" w:lineRule="auto"/>
        <w:jc w:val="both"/>
        <w:rPr>
          <w:rFonts w:ascii="Times New Roman" w:hAnsi="Times New Roman" w:cs="Times New Roman"/>
        </w:rPr>
      </w:pPr>
      <w:r w:rsidRPr="00A953A6">
        <w:rPr>
          <w:rFonts w:ascii="Times New Roman" w:hAnsi="Times New Roman" w:cs="Times New Roman"/>
        </w:rPr>
        <w:t>While doctrinally sound, this process-based scrutiny introduces practical complexity. Traditionally, the Torrens model sought to protect third parties who relied in good faith on the register, limiting the need to investigate the deeper historical chain of ownership. The expanded emphasis on the “root of title” effectively reintroduces a degree of historical inquiry into transactions, particularly where procedural irregularities may have occurred in earlier stages of acquisition.</w:t>
      </w:r>
    </w:p>
    <w:p w:rsidR="00A953A6" w:rsidRPr="00A953A6" w:rsidP="00EE3D19" w14:paraId="7477A256" w14:textId="77777777">
      <w:pPr>
        <w:spacing w:line="360" w:lineRule="auto"/>
        <w:jc w:val="both"/>
        <w:rPr>
          <w:rFonts w:ascii="Times New Roman" w:hAnsi="Times New Roman" w:cs="Times New Roman"/>
        </w:rPr>
      </w:pPr>
      <w:r w:rsidRPr="00A953A6">
        <w:rPr>
          <w:rFonts w:ascii="Times New Roman" w:hAnsi="Times New Roman" w:cs="Times New Roman"/>
        </w:rPr>
        <w:t>From a land administration perspective, this shift has systemic implications. Surveyors, conveyancing advocates, valuers, and financial institutions operate on the assumption that registration confers a stable proprietary status. When the validity of title depends on potentially undiscoverable defects in earlier processes—especially in contexts such as succession—the predictability that underpins the registration system may be weakened.</w:t>
      </w:r>
    </w:p>
    <w:p w:rsidR="00A953A6" w:rsidRPr="00A953A6" w:rsidP="00EE3D19" w14:paraId="2C9BC204" w14:textId="77777777">
      <w:pPr>
        <w:spacing w:line="360" w:lineRule="auto"/>
        <w:jc w:val="both"/>
        <w:rPr>
          <w:rFonts w:ascii="Times New Roman" w:hAnsi="Times New Roman" w:cs="Times New Roman"/>
        </w:rPr>
      </w:pPr>
      <w:r w:rsidRPr="00A953A6">
        <w:rPr>
          <w:rFonts w:ascii="Times New Roman" w:hAnsi="Times New Roman" w:cs="Times New Roman"/>
        </w:rPr>
        <w:t>The challenge, therefore, is not the recognition that illegality should invalidate the title. Rather, it lies in calibrating the application of this principle so that the integrity of the registration system is preserved without undermining its central purpose: to provide certainty, finality, and market confidence in registered land rights.</w:t>
      </w:r>
    </w:p>
    <w:p w:rsidR="00D453B7" w:rsidRPr="00EE3D19" w:rsidP="003A70ED" w14:paraId="07E567BD" w14:textId="2981F9F0">
      <w:pPr>
        <w:pStyle w:val="Heading1"/>
        <w:spacing w:line="360" w:lineRule="auto"/>
        <w:jc w:val="center"/>
        <w:rPr>
          <w:rFonts w:ascii="Times New Roman" w:hAnsi="Times New Roman" w:cs="Times New Roman"/>
          <w:b/>
          <w:bCs/>
          <w:color w:val="auto"/>
          <w:sz w:val="28"/>
          <w:szCs w:val="28"/>
        </w:rPr>
      </w:pPr>
      <w:r w:rsidRPr="00EE3D19">
        <w:rPr>
          <w:rFonts w:ascii="Times New Roman" w:hAnsi="Times New Roman" w:cs="Times New Roman"/>
          <w:b/>
          <w:bCs/>
          <w:color w:val="auto"/>
          <w:sz w:val="28"/>
          <w:szCs w:val="28"/>
        </w:rPr>
        <w:t>Succession as a Major Channel of Land Transmission in Kenya</w:t>
      </w:r>
    </w:p>
    <w:p w:rsidR="00D453B7" w:rsidRPr="00D453B7" w:rsidP="00EE3D19" w14:paraId="06C96287" w14:textId="77777777">
      <w:pPr>
        <w:spacing w:line="360" w:lineRule="auto"/>
        <w:jc w:val="both"/>
        <w:rPr>
          <w:rFonts w:ascii="Times New Roman" w:hAnsi="Times New Roman" w:cs="Times New Roman"/>
        </w:rPr>
      </w:pPr>
      <w:r w:rsidRPr="00D453B7">
        <w:rPr>
          <w:rFonts w:ascii="Times New Roman" w:hAnsi="Times New Roman" w:cs="Times New Roman"/>
        </w:rPr>
        <w:t>Succession represents one of the most significant channels through which land changes ownership in Kenya. In both rural and urban contexts, a substantial proportion of registered parcels are transmitted following the death of a proprietor under the framework of the Law of Succession Act. Unlike commercial transfers arising from sale agreements, succession-based transmission is rooted in family structures, customary expectations, and probate administration. As such, it occupies a unique position at the intersection of private inheritance rights and formal land registration.</w:t>
      </w:r>
    </w:p>
    <w:p w:rsidR="00D453B7" w:rsidRPr="00D453B7" w:rsidP="00EE3D19" w14:paraId="76D5969A" w14:textId="77777777">
      <w:pPr>
        <w:spacing w:line="360" w:lineRule="auto"/>
        <w:jc w:val="both"/>
        <w:rPr>
          <w:rFonts w:ascii="Times New Roman" w:hAnsi="Times New Roman" w:cs="Times New Roman"/>
        </w:rPr>
      </w:pPr>
      <w:r w:rsidRPr="00D453B7">
        <w:rPr>
          <w:rFonts w:ascii="Times New Roman" w:hAnsi="Times New Roman" w:cs="Times New Roman"/>
        </w:rPr>
        <w:t>Upon death, a deceased person's estate is administered through probate (where a valid will exists) or through letters of administration in cases of intestacy. Once a grant is issued and subsequently confirmed, the court authorizes distribution of the estate to identified beneficiaries. In relation to land, this confirmation forms the legal basis for the transmission and registration of beneficiaries as proprietors in the land register. Thereafter, beneficiaries are entitled to transfer, subdivide, or otherwise deal with the land as registered owners.</w:t>
      </w:r>
    </w:p>
    <w:p w:rsidR="001A277B" w:rsidRPr="001A277B" w:rsidP="00EE3D19" w14:paraId="5CB22D66" w14:textId="2D7ACE45">
      <w:pPr>
        <w:spacing w:line="360" w:lineRule="auto"/>
        <w:jc w:val="both"/>
        <w:rPr>
          <w:rFonts w:ascii="Times New Roman" w:hAnsi="Times New Roman" w:cs="Times New Roman"/>
        </w:rPr>
      </w:pPr>
      <w:r w:rsidRPr="001A277B">
        <w:rPr>
          <w:rFonts w:ascii="Times New Roman" w:hAnsi="Times New Roman" w:cs="Times New Roman"/>
        </w:rPr>
        <w:t xml:space="preserve">From a registration perspective, this process appears orderly and complete. The Land Registry relies on confirmed grants issued by the probate court as authoritative instruments for transmission. Once registration is </w:t>
      </w:r>
      <w:r w:rsidRPr="00EE3D19">
        <w:rPr>
          <w:rFonts w:ascii="Times New Roman" w:hAnsi="Times New Roman" w:cs="Times New Roman"/>
        </w:rPr>
        <w:t>affected</w:t>
      </w:r>
      <w:r w:rsidRPr="001A277B">
        <w:rPr>
          <w:rFonts w:ascii="Times New Roman" w:hAnsi="Times New Roman" w:cs="Times New Roman"/>
        </w:rPr>
        <w:t>, the new proprietor’s title is presumed valid, subject to statutory exceptions. In practice, purchasers who later acquire such land typically verify the confirmed grant, conduct official searches, and rely on the fact of registration when completing transactions.</w:t>
      </w:r>
    </w:p>
    <w:p w:rsidR="001A277B" w:rsidRPr="001A277B" w:rsidP="00EE3D19" w14:paraId="3A848B54" w14:textId="77777777">
      <w:pPr>
        <w:spacing w:line="360" w:lineRule="auto"/>
        <w:jc w:val="both"/>
        <w:rPr>
          <w:rFonts w:ascii="Times New Roman" w:hAnsi="Times New Roman" w:cs="Times New Roman"/>
        </w:rPr>
      </w:pPr>
      <w:r w:rsidRPr="001A277B">
        <w:rPr>
          <w:rFonts w:ascii="Times New Roman" w:hAnsi="Times New Roman" w:cs="Times New Roman"/>
        </w:rPr>
        <w:t>However, succession carries inherent structural vulnerabilities. Section 76 of the Law of Succession Act permits revocation or annulment of a grant where proceedings were defective, material facts were concealed, or fraud or misrepresentation occurred. In many cases, applications for revocation arise from allegations that certain beneficiaries were omitted, that consent was improperly obtained, or that distribution did not reflect lawful entitlement. Crucially, such applications may be brought years after the original confirmation of the grant.</w:t>
      </w:r>
    </w:p>
    <w:p w:rsidR="001A277B" w:rsidRPr="001A277B" w:rsidP="00EE3D19" w14:paraId="543DC909" w14:textId="77777777">
      <w:pPr>
        <w:spacing w:line="360" w:lineRule="auto"/>
        <w:jc w:val="both"/>
        <w:rPr>
          <w:rFonts w:ascii="Times New Roman" w:hAnsi="Times New Roman" w:cs="Times New Roman"/>
        </w:rPr>
      </w:pPr>
      <w:r w:rsidRPr="001A277B">
        <w:rPr>
          <w:rFonts w:ascii="Times New Roman" w:hAnsi="Times New Roman" w:cs="Times New Roman"/>
        </w:rPr>
        <w:t>Where revocation occurs after beneficiaries have already transferred land to third parties, a complex legal problem emerges. Transactions flowing from the revoked grant—including transfers to purchasers who were not parties to the probate process—may be rendered vulnerable. The revocation effectively destabilizes the legal foundation upon which registration was based.</w:t>
      </w:r>
    </w:p>
    <w:p w:rsidR="001A277B" w:rsidRPr="001A277B" w:rsidP="00EE3D19" w14:paraId="61563423" w14:textId="77777777">
      <w:pPr>
        <w:spacing w:line="360" w:lineRule="auto"/>
        <w:jc w:val="both"/>
        <w:rPr>
          <w:rFonts w:ascii="Times New Roman" w:hAnsi="Times New Roman" w:cs="Times New Roman"/>
        </w:rPr>
      </w:pPr>
      <w:r w:rsidRPr="001A277B">
        <w:rPr>
          <w:rFonts w:ascii="Times New Roman" w:hAnsi="Times New Roman" w:cs="Times New Roman"/>
        </w:rPr>
        <w:t>This dynamic distinguishes succession-derived land from other modes of acquisition. In a typical sales transaction, defects in the process may be more readily traceable to the immediate parties. In succession, however, underlying disputes often arise from family relationships and internal estate administration—matters that are not always visible or discoverable through standard conveyancing due diligence.</w:t>
      </w:r>
    </w:p>
    <w:p w:rsidR="001A277B" w:rsidRPr="001A277B" w:rsidP="00EE3D19" w14:paraId="431B02B3" w14:textId="77777777">
      <w:pPr>
        <w:spacing w:line="360" w:lineRule="auto"/>
        <w:jc w:val="both"/>
        <w:rPr>
          <w:rFonts w:ascii="Times New Roman" w:hAnsi="Times New Roman" w:cs="Times New Roman"/>
        </w:rPr>
      </w:pPr>
      <w:r w:rsidRPr="001A277B">
        <w:rPr>
          <w:rFonts w:ascii="Times New Roman" w:hAnsi="Times New Roman" w:cs="Times New Roman"/>
        </w:rPr>
        <w:t>Given the centrality of succession to Kenya’s land transmission patterns, the interaction between probate law and registration law has systemic consequences. Where revocation of grants produces uncertainty in derivative titles, the ripple effects extend beyond private family disputes. They affect land market confidence, survey practice, development planning, and the broader reliability of the registration system.</w:t>
      </w:r>
    </w:p>
    <w:p w:rsidR="00AE412A" w:rsidRPr="00EE3D19" w:rsidP="00EE3D19" w14:paraId="26075446" w14:textId="0F84B2DC">
      <w:pPr>
        <w:spacing w:line="360" w:lineRule="auto"/>
        <w:jc w:val="both"/>
        <w:rPr>
          <w:rFonts w:ascii="Times New Roman" w:hAnsi="Times New Roman" w:cs="Times New Roman"/>
        </w:rPr>
      </w:pPr>
      <w:r w:rsidRPr="00EE3D19">
        <w:rPr>
          <w:rFonts w:ascii="Times New Roman" w:hAnsi="Times New Roman" w:cs="Times New Roman"/>
        </w:rPr>
        <w:t>Understanding succession not merely as a private inheritance mechanism, but as a foundational component of the land administration framework, is therefore essential to appreciating the scale and significance of the uncertainty now confronting land markets.</w:t>
      </w:r>
    </w:p>
    <w:p w:rsidR="0055394F" w:rsidRPr="00EE3D19" w:rsidP="003A70ED" w14:paraId="1E79326D" w14:textId="52440516">
      <w:pPr>
        <w:pStyle w:val="Heading1"/>
        <w:spacing w:line="360" w:lineRule="auto"/>
        <w:jc w:val="center"/>
        <w:rPr>
          <w:rFonts w:ascii="Times New Roman" w:hAnsi="Times New Roman" w:cs="Times New Roman"/>
          <w:b/>
          <w:bCs/>
          <w:color w:val="auto"/>
          <w:sz w:val="28"/>
          <w:szCs w:val="28"/>
        </w:rPr>
      </w:pPr>
      <w:r w:rsidRPr="00EE3D19">
        <w:rPr>
          <w:rFonts w:ascii="Times New Roman" w:hAnsi="Times New Roman" w:cs="Times New Roman"/>
          <w:b/>
          <w:bCs/>
          <w:color w:val="auto"/>
          <w:sz w:val="28"/>
          <w:szCs w:val="28"/>
        </w:rPr>
        <w:t>The Innocent Purchaser Dilemma in Practice</w:t>
      </w:r>
    </w:p>
    <w:p w:rsidR="0055394F" w:rsidRPr="0055394F" w:rsidP="00EE3D19" w14:paraId="2A904F79" w14:textId="77777777">
      <w:pPr>
        <w:spacing w:line="360" w:lineRule="auto"/>
        <w:jc w:val="both"/>
        <w:rPr>
          <w:rFonts w:ascii="Times New Roman" w:hAnsi="Times New Roman" w:cs="Times New Roman"/>
        </w:rPr>
      </w:pPr>
      <w:r w:rsidRPr="0055394F">
        <w:rPr>
          <w:rFonts w:ascii="Times New Roman" w:hAnsi="Times New Roman" w:cs="Times New Roman"/>
        </w:rPr>
        <w:t>The interaction between succession law and land registration principles becomes most visible in the position of the innocent purchaser. In ordinary conveyancing practice, a purchaser who acquires land for value and without notice of defect is traditionally afforded protection. The doctrine of the bona fide purchaser has long operated to safeguard market transactions by insulating good faith buyers from undisclosed claims that are not reflected in the register.</w:t>
      </w:r>
    </w:p>
    <w:p w:rsidR="0055394F" w:rsidRPr="0055394F" w:rsidP="00EE3D19" w14:paraId="7D45AC0F" w14:textId="77777777">
      <w:pPr>
        <w:spacing w:line="360" w:lineRule="auto"/>
        <w:jc w:val="both"/>
        <w:rPr>
          <w:rFonts w:ascii="Times New Roman" w:hAnsi="Times New Roman" w:cs="Times New Roman"/>
        </w:rPr>
      </w:pPr>
      <w:r w:rsidRPr="0055394F">
        <w:rPr>
          <w:rFonts w:ascii="Times New Roman" w:hAnsi="Times New Roman" w:cs="Times New Roman"/>
        </w:rPr>
        <w:t>In practice, purchasers of succession-derived land undertake what is considered reasonable due diligence. This typically includes conducting an official search at the Land Registry, reviewing the confirmed grant issued by the probate court, verifying identification documents of the registered proprietor, confirming survey records where necessary, and completing the transfer in accordance with statutory requirements. Where these steps are properly followed, the purchaser proceeds on the assumption that the risk of prior defects has been sufficiently mitigated.</w:t>
      </w:r>
    </w:p>
    <w:p w:rsidR="000A24F7" w:rsidRPr="000A24F7" w:rsidP="00EE3D19" w14:paraId="2B2BC622" w14:textId="77777777">
      <w:pPr>
        <w:spacing w:line="360" w:lineRule="auto"/>
        <w:jc w:val="both"/>
        <w:rPr>
          <w:rFonts w:ascii="Times New Roman" w:hAnsi="Times New Roman" w:cs="Times New Roman"/>
        </w:rPr>
      </w:pPr>
      <w:r w:rsidRPr="000A24F7">
        <w:rPr>
          <w:rFonts w:ascii="Times New Roman" w:hAnsi="Times New Roman" w:cs="Times New Roman"/>
        </w:rPr>
        <w:t xml:space="preserve">The structural difficulty arises from the nature of probate defects. Omitted beneficiaries, undisclosed </w:t>
      </w:r>
      <w:r w:rsidRPr="000A24F7">
        <w:rPr>
          <w:rFonts w:ascii="Times New Roman" w:hAnsi="Times New Roman" w:cs="Times New Roman"/>
        </w:rPr>
        <w:t>dependents</w:t>
      </w:r>
      <w:r w:rsidRPr="000A24F7">
        <w:rPr>
          <w:rFonts w:ascii="Times New Roman" w:hAnsi="Times New Roman" w:cs="Times New Roman"/>
        </w:rPr>
        <w:t>, or internal family disputes are often not ascertainable from the face of the confirmed grant or the land register. A purchaser has no practical means of independently verifying whether every lawful beneficiary was included in the succession proceedings or whether consent was fully informed and validly obtained. These matters lie within the private domain of estate administration and are typically adjudicated years later, when disputes crystallize.</w:t>
      </w:r>
    </w:p>
    <w:p w:rsidR="000A24F7" w:rsidRPr="000A24F7" w:rsidP="00EE3D19" w14:paraId="495CD52D" w14:textId="77777777">
      <w:pPr>
        <w:spacing w:line="360" w:lineRule="auto"/>
        <w:jc w:val="both"/>
        <w:rPr>
          <w:rFonts w:ascii="Times New Roman" w:hAnsi="Times New Roman" w:cs="Times New Roman"/>
        </w:rPr>
      </w:pPr>
      <w:r w:rsidRPr="000A24F7">
        <w:rPr>
          <w:rFonts w:ascii="Times New Roman" w:hAnsi="Times New Roman" w:cs="Times New Roman"/>
        </w:rPr>
        <w:t>When a confirmed grant is subsequently revoked under Section 76 of the Law of Succession Act, the legal foundation for transmission is retrospectively undermined. Courts have, in certain instances, treated transactions flowing from such grants as vulnerable, notwithstanding that third-party purchasers were not complicit in any defect. The purchaser may therefore find that a title obtained through formal registration is challenged on the basis of defects in a probate process to which they were not party and which they could not reasonably have investigated.</w:t>
      </w:r>
    </w:p>
    <w:p w:rsidR="000A24F7" w:rsidRPr="000A24F7" w:rsidP="00EE3D19" w14:paraId="096AFC7D" w14:textId="77777777">
      <w:pPr>
        <w:spacing w:line="360" w:lineRule="auto"/>
        <w:jc w:val="both"/>
        <w:rPr>
          <w:rFonts w:ascii="Times New Roman" w:hAnsi="Times New Roman" w:cs="Times New Roman"/>
        </w:rPr>
      </w:pPr>
      <w:r w:rsidRPr="000A24F7">
        <w:rPr>
          <w:rFonts w:ascii="Times New Roman" w:hAnsi="Times New Roman" w:cs="Times New Roman"/>
        </w:rPr>
        <w:t xml:space="preserve">The consequences can be significant. Property may have been developed, subdivided, or charged to financial institutions. Subsequent purchasers may have entered the chain of transactions. Survey plans may have been approved, mutation forms processed, and new titles issued. Yet revocation can cast doubt on the validity of the entire transactional sequence. In some cases, the original </w:t>
      </w:r>
      <w:r w:rsidRPr="000A24F7">
        <w:rPr>
          <w:rFonts w:ascii="Times New Roman" w:hAnsi="Times New Roman" w:cs="Times New Roman"/>
        </w:rPr>
        <w:t>beneficiaries who transferred the land may be deceased, insolvent, or otherwise unavailable to provide restitution.</w:t>
      </w:r>
    </w:p>
    <w:p w:rsidR="000A24F7" w:rsidRPr="000A24F7" w:rsidP="00EE3D19" w14:paraId="6864F26B" w14:textId="77777777">
      <w:pPr>
        <w:spacing w:line="360" w:lineRule="auto"/>
        <w:jc w:val="both"/>
        <w:rPr>
          <w:rFonts w:ascii="Times New Roman" w:hAnsi="Times New Roman" w:cs="Times New Roman"/>
        </w:rPr>
      </w:pPr>
      <w:r w:rsidRPr="000A24F7">
        <w:rPr>
          <w:rFonts w:ascii="Times New Roman" w:hAnsi="Times New Roman" w:cs="Times New Roman"/>
        </w:rPr>
        <w:t>From a market perspective, this scenario introduces a heightened risk profile for succession-derived land. Purchasers may become reluctant to transact in recently transmitted parcels. Financial institutions may apply stricter lending conditions. Professionals involved in the transaction—including surveyors and conveyancing advocates—may face increased exposure to liability claims. The result is not merely individual hardship but systemic caution that slows land market activity.</w:t>
      </w:r>
    </w:p>
    <w:p w:rsidR="000A24F7" w:rsidRPr="000A24F7" w:rsidP="00EE3D19" w14:paraId="03B4D6C1" w14:textId="77777777">
      <w:pPr>
        <w:spacing w:line="360" w:lineRule="auto"/>
        <w:jc w:val="both"/>
        <w:rPr>
          <w:rFonts w:ascii="Times New Roman" w:hAnsi="Times New Roman" w:cs="Times New Roman"/>
        </w:rPr>
      </w:pPr>
      <w:r w:rsidRPr="000A24F7">
        <w:rPr>
          <w:rFonts w:ascii="Times New Roman" w:hAnsi="Times New Roman" w:cs="Times New Roman"/>
        </w:rPr>
        <w:t>The dilemma, therefore, is not rooted in the principle that fraudulent or defective succession processes should be corrected. Rather, it lies in determining the extent to which third-party purchasers should bear the risk of defects that were neither visible nor reasonably discoverable at the time of the transaction. The resolution of this tension is central to maintaining both fairness in inheritance disputes and confidence in Kenya's land registration system.</w:t>
      </w:r>
    </w:p>
    <w:p w:rsidR="006318D0" w:rsidRPr="00EE3D19" w:rsidP="00111E66" w14:paraId="1147053C" w14:textId="6D29048A">
      <w:pPr>
        <w:pStyle w:val="Heading1"/>
        <w:spacing w:line="360" w:lineRule="auto"/>
        <w:jc w:val="center"/>
        <w:rPr>
          <w:rFonts w:ascii="Times New Roman" w:hAnsi="Times New Roman" w:cs="Times New Roman"/>
          <w:b/>
          <w:bCs/>
          <w:color w:val="auto"/>
          <w:sz w:val="28"/>
          <w:szCs w:val="28"/>
        </w:rPr>
      </w:pPr>
      <w:r w:rsidRPr="00EE3D19">
        <w:rPr>
          <w:rFonts w:ascii="Times New Roman" w:hAnsi="Times New Roman" w:cs="Times New Roman"/>
          <w:b/>
          <w:bCs/>
          <w:color w:val="auto"/>
          <w:sz w:val="28"/>
          <w:szCs w:val="28"/>
        </w:rPr>
        <w:t>Implications for Survey Practice and Land Administration</w:t>
      </w:r>
    </w:p>
    <w:p w:rsidR="006318D0" w:rsidRPr="006318D0" w:rsidP="00EE3D19" w14:paraId="6CA08F75" w14:textId="77777777">
      <w:pPr>
        <w:spacing w:line="360" w:lineRule="auto"/>
        <w:jc w:val="both"/>
        <w:rPr>
          <w:rFonts w:ascii="Times New Roman" w:hAnsi="Times New Roman" w:cs="Times New Roman"/>
        </w:rPr>
      </w:pPr>
      <w:r w:rsidRPr="006318D0">
        <w:rPr>
          <w:rFonts w:ascii="Times New Roman" w:hAnsi="Times New Roman" w:cs="Times New Roman"/>
        </w:rPr>
        <w:t>The uncertainty arising from succession-related revocations does not remain confined to courtrooms. It carries direct implications for survey practice, land administration processes, and the operational reliability of Kenya’s registration system. Where derivative titles are destabilized, the effects ripple across cadastral records, mutation surveys, subdivision approvals, and professional liability frameworks.</w:t>
      </w:r>
    </w:p>
    <w:p w:rsidR="006318D0" w:rsidRPr="006318D0" w:rsidP="00EE3D19" w14:paraId="66AC7257" w14:textId="77777777">
      <w:pPr>
        <w:spacing w:line="360" w:lineRule="auto"/>
        <w:jc w:val="both"/>
        <w:rPr>
          <w:rFonts w:ascii="Times New Roman" w:hAnsi="Times New Roman" w:cs="Times New Roman"/>
        </w:rPr>
      </w:pPr>
      <w:r w:rsidRPr="006318D0">
        <w:rPr>
          <w:rFonts w:ascii="Times New Roman" w:hAnsi="Times New Roman" w:cs="Times New Roman"/>
        </w:rPr>
        <w:t>Surveyors operate at critical points in the land transaction cycle. Following transmission through succession, beneficiaries often seek to subdivide, amalgamate, or transfer their parcels. Mutation forms are prepared, boundaries are re-established or confirmed, beacons are placed or reinstated, and new titles are generated. These technical processes proceed on the assumption that the underlying title is legally secure. When a grant is later revoked and the root transmission invalidated, survey work that was lawfully undertaken may become functionally compromised.</w:t>
      </w:r>
    </w:p>
    <w:p w:rsidR="006318D0" w:rsidRPr="006318D0" w:rsidP="00EE3D19" w14:paraId="00AB50BF" w14:textId="77777777">
      <w:pPr>
        <w:spacing w:line="360" w:lineRule="auto"/>
        <w:jc w:val="both"/>
        <w:rPr>
          <w:rFonts w:ascii="Times New Roman" w:hAnsi="Times New Roman" w:cs="Times New Roman"/>
        </w:rPr>
      </w:pPr>
      <w:r w:rsidRPr="006318D0">
        <w:rPr>
          <w:rFonts w:ascii="Times New Roman" w:hAnsi="Times New Roman" w:cs="Times New Roman"/>
        </w:rPr>
        <w:t xml:space="preserve">In practical terms, revocation can produce several administrative challenges. Subdivisions effected on the basis of a transmitted title may be questioned. New parcel numbers may have been issued and registered. Subsequent purchasers may have relied on approved survey plans when developing </w:t>
      </w:r>
      <w:r w:rsidRPr="006318D0">
        <w:rPr>
          <w:rFonts w:ascii="Times New Roman" w:hAnsi="Times New Roman" w:cs="Times New Roman"/>
        </w:rPr>
        <w:t>property or securing financing. If the original transmission is nullified, questions arise as to the status of these derivative survey records and whether rectification of the register is required. Such rectification can be administratively complex, costly, and disruptive.</w:t>
      </w:r>
    </w:p>
    <w:p w:rsidR="006318D0" w:rsidRPr="006318D0" w:rsidP="00EE3D19" w14:paraId="47455A65" w14:textId="77777777">
      <w:pPr>
        <w:spacing w:line="360" w:lineRule="auto"/>
        <w:jc w:val="both"/>
        <w:rPr>
          <w:rFonts w:ascii="Times New Roman" w:hAnsi="Times New Roman" w:cs="Times New Roman"/>
        </w:rPr>
      </w:pPr>
      <w:r w:rsidRPr="006318D0">
        <w:rPr>
          <w:rFonts w:ascii="Times New Roman" w:hAnsi="Times New Roman" w:cs="Times New Roman"/>
        </w:rPr>
        <w:t>There are also implications for cadastral integrity. Land administration systems depend on consistency between the legal register and spatial records. Where titles are cancelled or reinstated following prolonged litigation, discrepancies may emerge between historical survey data and current legal status. In an era where digitization of land records and geospatial integration are policy priorities, instability in root ownership complicates efforts to maintain coherent and reliable land information systems.</w:t>
      </w:r>
    </w:p>
    <w:p w:rsidR="006318D0" w:rsidRPr="006318D0" w:rsidP="00EE3D19" w14:paraId="4AA9B892" w14:textId="77777777">
      <w:pPr>
        <w:spacing w:line="360" w:lineRule="auto"/>
        <w:jc w:val="both"/>
        <w:rPr>
          <w:rFonts w:ascii="Times New Roman" w:hAnsi="Times New Roman" w:cs="Times New Roman"/>
        </w:rPr>
      </w:pPr>
      <w:r w:rsidRPr="006318D0">
        <w:rPr>
          <w:rFonts w:ascii="Times New Roman" w:hAnsi="Times New Roman" w:cs="Times New Roman"/>
        </w:rPr>
        <w:t>Professional liability exposure is another practical concern. Surveyors engaged in mutation, boundary confirmation, or subdivision may be drawn into disputes where parties seek to challenge the validity of derivative titles. Although surveyors do not adjudicate succession disputes, their work becomes entangled in litigation where title validity is contested. Increased uncertainty may therefore translate into heightened professional risk, stricter indemnity insurance requirements, and more cautious engagement in succession-derived transactions.</w:t>
      </w:r>
    </w:p>
    <w:p w:rsidR="006318D0" w:rsidRPr="006318D0" w:rsidP="00EE3D19" w14:paraId="6C1AA336" w14:textId="77777777">
      <w:pPr>
        <w:spacing w:line="360" w:lineRule="auto"/>
        <w:jc w:val="both"/>
        <w:rPr>
          <w:rFonts w:ascii="Times New Roman" w:hAnsi="Times New Roman" w:cs="Times New Roman"/>
        </w:rPr>
      </w:pPr>
      <w:r w:rsidRPr="006318D0">
        <w:rPr>
          <w:rFonts w:ascii="Times New Roman" w:hAnsi="Times New Roman" w:cs="Times New Roman"/>
        </w:rPr>
        <w:t>From a broader land administration perspective, repeated destabilization of registered titles undermines the predictability that the registration system is intended to provide. Administrative officers at the Land Registry must reconcile court orders affecting long-registered parcels, often years after subsequent transactions have occurred. Financial institutions may require additional safeguards before accepting such land as collateral. Developers may delay projects pending the resolution of latent risks.</w:t>
      </w:r>
    </w:p>
    <w:p w:rsidR="006318D0" w:rsidRPr="006318D0" w:rsidP="00EE3D19" w14:paraId="54F43737" w14:textId="77777777">
      <w:pPr>
        <w:spacing w:line="360" w:lineRule="auto"/>
        <w:jc w:val="both"/>
        <w:rPr>
          <w:rFonts w:ascii="Times New Roman" w:hAnsi="Times New Roman" w:cs="Times New Roman"/>
        </w:rPr>
      </w:pPr>
      <w:r w:rsidRPr="006318D0">
        <w:rPr>
          <w:rFonts w:ascii="Times New Roman" w:hAnsi="Times New Roman" w:cs="Times New Roman"/>
        </w:rPr>
        <w:t>These consequences highlight that the issue is not solely a doctrinal debate about indefeasibility. It is a systemic concern affecting the technical, administrative, and professional dimensions of land governance. Where succession-related defects are capable of unsettling titles long after registration, the efficiency and credibility of the land administration framework are placed under strain. Addressing this uncertainty is therefore essential not only for legal coherence but also for the stability of survey practice and the broader built environment sector.</w:t>
      </w:r>
    </w:p>
    <w:p w:rsidR="006318D0" w:rsidRPr="00EE3D19" w:rsidP="00111E66" w14:paraId="7C87C1DE" w14:textId="10D1CAA0">
      <w:pPr>
        <w:pStyle w:val="Heading1"/>
        <w:spacing w:line="360" w:lineRule="auto"/>
        <w:jc w:val="center"/>
        <w:rPr>
          <w:rFonts w:ascii="Times New Roman" w:hAnsi="Times New Roman" w:cs="Times New Roman"/>
          <w:b/>
          <w:bCs/>
          <w:color w:val="auto"/>
          <w:sz w:val="28"/>
          <w:szCs w:val="28"/>
        </w:rPr>
      </w:pPr>
      <w:r w:rsidRPr="00EE3D19">
        <w:rPr>
          <w:rFonts w:ascii="Times New Roman" w:hAnsi="Times New Roman" w:cs="Times New Roman"/>
          <w:b/>
          <w:bCs/>
          <w:color w:val="auto"/>
          <w:sz w:val="28"/>
          <w:szCs w:val="28"/>
        </w:rPr>
        <w:t>Market and Built Environment Implications</w:t>
      </w:r>
    </w:p>
    <w:p w:rsidR="006318D0" w:rsidRPr="006318D0" w:rsidP="00EE3D19" w14:paraId="7F255EB3" w14:textId="77777777">
      <w:pPr>
        <w:spacing w:line="360" w:lineRule="auto"/>
        <w:jc w:val="both"/>
        <w:rPr>
          <w:rFonts w:ascii="Times New Roman" w:hAnsi="Times New Roman" w:cs="Times New Roman"/>
        </w:rPr>
      </w:pPr>
      <w:r w:rsidRPr="006318D0">
        <w:rPr>
          <w:rFonts w:ascii="Times New Roman" w:hAnsi="Times New Roman" w:cs="Times New Roman"/>
        </w:rPr>
        <w:t xml:space="preserve">Title certainty performs a stabilizing function within land markets. When ownership is predictable and legally secure, land can be transacted, developed, financed, and leveraged with confidence. Conversely, where the validity of the registered title is subject to prolonged and unpredictable challenge, market </w:t>
      </w:r>
      <w:r w:rsidRPr="006318D0">
        <w:rPr>
          <w:rFonts w:ascii="Times New Roman" w:hAnsi="Times New Roman" w:cs="Times New Roman"/>
        </w:rPr>
        <w:t>behaviour</w:t>
      </w:r>
      <w:r w:rsidRPr="006318D0">
        <w:rPr>
          <w:rFonts w:ascii="Times New Roman" w:hAnsi="Times New Roman" w:cs="Times New Roman"/>
        </w:rPr>
        <w:t xml:space="preserve"> adjusts accordingly. The growing uncertainty surrounding succession-derived land, therefore, carries measurable implications for investment patterns and built environment development in Kenya.</w:t>
      </w:r>
    </w:p>
    <w:p w:rsidR="006318D0" w:rsidRPr="006318D0" w:rsidP="00EE3D19" w14:paraId="57AEFF5F" w14:textId="77777777">
      <w:pPr>
        <w:spacing w:line="360" w:lineRule="auto"/>
        <w:jc w:val="both"/>
        <w:rPr>
          <w:rFonts w:ascii="Times New Roman" w:hAnsi="Times New Roman" w:cs="Times New Roman"/>
        </w:rPr>
      </w:pPr>
      <w:r w:rsidRPr="006318D0">
        <w:rPr>
          <w:rFonts w:ascii="Times New Roman" w:hAnsi="Times New Roman" w:cs="Times New Roman"/>
        </w:rPr>
        <w:t>One immediate effect is heightened transaction caution. Purchasers may become reluctant to acquire parcels recently transmitted through succession, particularly in regions where inheritance disputes are common. Financial institutions, aware of the potential for grant revocation and derivative instability, may impose stricter lending conditions or decline to accept such parcels as collateral. Increased due diligence costs, legal review, and risk premiums inevitably raise transaction expenses and slow market turnover.</w:t>
      </w:r>
    </w:p>
    <w:p w:rsidR="006318D0" w:rsidRPr="006318D0" w:rsidP="00EE3D19" w14:paraId="0B1B68F6" w14:textId="77777777">
      <w:pPr>
        <w:spacing w:line="360" w:lineRule="auto"/>
        <w:jc w:val="both"/>
        <w:rPr>
          <w:rFonts w:ascii="Times New Roman" w:hAnsi="Times New Roman" w:cs="Times New Roman"/>
        </w:rPr>
      </w:pPr>
      <w:r w:rsidRPr="006318D0">
        <w:rPr>
          <w:rFonts w:ascii="Times New Roman" w:hAnsi="Times New Roman" w:cs="Times New Roman"/>
        </w:rPr>
        <w:t>Development timelines may also be affected. Land earmarked for residential, commercial, or mixed-use projects often requires subdivision, planning approvals, and financing. Where the underlying title is vulnerable to challenge, investors may defer capital commitments until the risk profile is clearer. In areas where succession constitutes a dominant mode of land transmission—particularly peri-urban and rural growth zones—this uncertainty can delay development uptake and inhibit orderly expansion of the built environment.</w:t>
      </w:r>
    </w:p>
    <w:p w:rsidR="006318D0" w:rsidRPr="006318D0" w:rsidP="00EE3D19" w14:paraId="359669B4" w14:textId="77777777">
      <w:pPr>
        <w:spacing w:line="360" w:lineRule="auto"/>
        <w:jc w:val="both"/>
        <w:rPr>
          <w:rFonts w:ascii="Times New Roman" w:hAnsi="Times New Roman" w:cs="Times New Roman"/>
        </w:rPr>
      </w:pPr>
      <w:r w:rsidRPr="006318D0">
        <w:rPr>
          <w:rFonts w:ascii="Times New Roman" w:hAnsi="Times New Roman" w:cs="Times New Roman"/>
        </w:rPr>
        <w:t>Mortgage markets are similarly exposed. Registered land serves as primary security for lending institutions. If a title can be invalidated years after registration due to defects in prior succession proceedings, lenders face the risk of impaired collateral. This risk is not easily quantifiable at the time of loan approval, particularly where defects were not visible on the register. As a result, credit allocation may become more conservative, affecting broader economic activity linked to real estate and land-based enterprises.</w:t>
      </w:r>
    </w:p>
    <w:p w:rsidR="006318D0" w:rsidRPr="006318D0" w:rsidP="00EE3D19" w14:paraId="6661EB0A" w14:textId="77777777">
      <w:pPr>
        <w:spacing w:line="360" w:lineRule="auto"/>
        <w:jc w:val="both"/>
        <w:rPr>
          <w:rFonts w:ascii="Times New Roman" w:hAnsi="Times New Roman" w:cs="Times New Roman"/>
        </w:rPr>
      </w:pPr>
      <w:r w:rsidRPr="006318D0">
        <w:rPr>
          <w:rFonts w:ascii="Times New Roman" w:hAnsi="Times New Roman" w:cs="Times New Roman"/>
        </w:rPr>
        <w:t xml:space="preserve">There is also a cumulative effect on land liquidity. Markets function efficiently when assets can be transferred without excessive uncertainty. If succession-derived land carries a perception of latent risk, it may trade at a discount or remain idle. Such stagnation undermines the economic utility of </w:t>
      </w:r>
      <w:r w:rsidRPr="006318D0">
        <w:rPr>
          <w:rFonts w:ascii="Times New Roman" w:hAnsi="Times New Roman" w:cs="Times New Roman"/>
        </w:rPr>
        <w:t>land and weakens its role as a catalyst for investment and employment within the built environment sector.</w:t>
      </w:r>
    </w:p>
    <w:p w:rsidR="006318D0" w:rsidRPr="006318D0" w:rsidP="00EE3D19" w14:paraId="5582D7DE" w14:textId="77777777">
      <w:pPr>
        <w:spacing w:line="360" w:lineRule="auto"/>
        <w:jc w:val="both"/>
        <w:rPr>
          <w:rFonts w:ascii="Times New Roman" w:hAnsi="Times New Roman" w:cs="Times New Roman"/>
        </w:rPr>
      </w:pPr>
      <w:r w:rsidRPr="006318D0">
        <w:rPr>
          <w:rFonts w:ascii="Times New Roman" w:hAnsi="Times New Roman" w:cs="Times New Roman"/>
        </w:rPr>
        <w:t>At a systemic level, uncertainty erodes confidence in the registration framework itself. The Torrens-inspired model was designed to simplify transactions by allowing parties to rely on the register without investigating historical processes indefinitely. When reliance on the register becomes insufficient to guarantee stability, the economic rationale of the system is weakened. Market actors may respond by informally extending investigations into historical ownership, thereby reintroducing the very inefficiencies the registration system was intended to eliminate.</w:t>
      </w:r>
    </w:p>
    <w:p w:rsidR="006318D0" w:rsidRPr="006318D0" w:rsidP="00EE3D19" w14:paraId="17A03572" w14:textId="77777777">
      <w:pPr>
        <w:spacing w:line="360" w:lineRule="auto"/>
        <w:jc w:val="both"/>
        <w:rPr>
          <w:rFonts w:ascii="Times New Roman" w:hAnsi="Times New Roman" w:cs="Times New Roman"/>
        </w:rPr>
      </w:pPr>
      <w:r w:rsidRPr="006318D0">
        <w:rPr>
          <w:rFonts w:ascii="Times New Roman" w:hAnsi="Times New Roman" w:cs="Times New Roman"/>
        </w:rPr>
        <w:t>The challenge, therefore, is not merely legal reconciliation between succession and registration doctrines. It is the preservation of land as a functional economic asset within a predictable regulatory environment. Without calibrated safeguards, prolonged vulnerability of succession-derived titles risks slowing development, constraining credit, and diminishing confidence in Kenya’s land markets.</w:t>
      </w:r>
    </w:p>
    <w:p w:rsidR="006318D0" w:rsidRPr="00EE3D19" w:rsidP="00111E66" w14:paraId="5047C642" w14:textId="6DB4B1F9">
      <w:pPr>
        <w:pStyle w:val="Heading1"/>
        <w:spacing w:line="360" w:lineRule="auto"/>
        <w:jc w:val="center"/>
        <w:rPr>
          <w:rFonts w:ascii="Times New Roman" w:hAnsi="Times New Roman" w:cs="Times New Roman"/>
          <w:b/>
          <w:bCs/>
          <w:color w:val="auto"/>
          <w:sz w:val="28"/>
          <w:szCs w:val="28"/>
        </w:rPr>
      </w:pPr>
      <w:r w:rsidRPr="00EE3D19">
        <w:rPr>
          <w:rFonts w:ascii="Times New Roman" w:hAnsi="Times New Roman" w:cs="Times New Roman"/>
          <w:b/>
          <w:bCs/>
          <w:color w:val="auto"/>
          <w:sz w:val="28"/>
          <w:szCs w:val="28"/>
        </w:rPr>
        <w:t>Reconciling Corrective Justice and Registration Certainty</w:t>
      </w:r>
    </w:p>
    <w:p w:rsidR="006318D0" w:rsidRPr="006318D0" w:rsidP="00EE3D19" w14:paraId="6C8DA272" w14:textId="77777777">
      <w:pPr>
        <w:spacing w:line="360" w:lineRule="auto"/>
        <w:jc w:val="both"/>
        <w:rPr>
          <w:rFonts w:ascii="Times New Roman" w:hAnsi="Times New Roman" w:cs="Times New Roman"/>
        </w:rPr>
      </w:pPr>
      <w:r w:rsidRPr="006318D0">
        <w:rPr>
          <w:rFonts w:ascii="Times New Roman" w:hAnsi="Times New Roman" w:cs="Times New Roman"/>
        </w:rPr>
        <w:t>The tension exposed by succession-related title disputes reflects a broader structural challenge within land governance: how to uphold corrective justice without destabilizing the registration system. On one hand, the legal framework must provide remedies where beneficiaries are unlawfully excluded, material facts are concealed, or succession proceedings are fundamentally defective. On the other hand, the land registration system must retain its capacity to provide certainty, finality, and predictability to third parties who transact in good faith.</w:t>
      </w:r>
    </w:p>
    <w:p w:rsidR="006318D0" w:rsidRPr="006318D0" w:rsidP="00EE3D19" w14:paraId="109DF2C4" w14:textId="77777777">
      <w:pPr>
        <w:spacing w:line="360" w:lineRule="auto"/>
        <w:jc w:val="both"/>
        <w:rPr>
          <w:rFonts w:ascii="Times New Roman" w:hAnsi="Times New Roman" w:cs="Times New Roman"/>
        </w:rPr>
      </w:pPr>
      <w:r w:rsidRPr="006318D0">
        <w:rPr>
          <w:rFonts w:ascii="Times New Roman" w:hAnsi="Times New Roman" w:cs="Times New Roman"/>
        </w:rPr>
        <w:t>Corrective justice serves an essential function. Succession law is designed to ensure equitable distribution of estates and to protect lawful heirs from disinheritance through fraud or procedural irregularity. Where grants are obtained through concealment or misrepresentation, revocation is an important safeguard. Without such remedies, the probate process could become a vehicle for abuse, and the legitimacy of inheritance law would be undermined.</w:t>
      </w:r>
    </w:p>
    <w:p w:rsidR="006318D0" w:rsidRPr="006318D0" w:rsidP="00EE3D19" w14:paraId="16770CB7" w14:textId="77777777">
      <w:pPr>
        <w:spacing w:line="360" w:lineRule="auto"/>
        <w:jc w:val="both"/>
        <w:rPr>
          <w:rFonts w:ascii="Times New Roman" w:hAnsi="Times New Roman" w:cs="Times New Roman"/>
        </w:rPr>
      </w:pPr>
      <w:r w:rsidRPr="006318D0">
        <w:rPr>
          <w:rFonts w:ascii="Times New Roman" w:hAnsi="Times New Roman" w:cs="Times New Roman"/>
        </w:rPr>
        <w:t xml:space="preserve">However, the application of corrective mechanisms must be balanced against the structural purpose of land registration. The registration system is premised on reliance. It allows market actors to transact without undertaking indefinite historical investigations into the processes that </w:t>
      </w:r>
      <w:r w:rsidRPr="006318D0">
        <w:rPr>
          <w:rFonts w:ascii="Times New Roman" w:hAnsi="Times New Roman" w:cs="Times New Roman"/>
        </w:rPr>
        <w:t>preceded registration. If defects in probate proceedings—particularly those that are not reasonably discoverable—can unsettle titles decades after transmission, the principle of reliance is weakened.</w:t>
      </w:r>
    </w:p>
    <w:p w:rsidR="006318D0" w:rsidRPr="006318D0" w:rsidP="00EE3D19" w14:paraId="702F9534" w14:textId="77777777">
      <w:pPr>
        <w:spacing w:line="360" w:lineRule="auto"/>
        <w:jc w:val="both"/>
        <w:rPr>
          <w:rFonts w:ascii="Times New Roman" w:hAnsi="Times New Roman" w:cs="Times New Roman"/>
        </w:rPr>
      </w:pPr>
      <w:r w:rsidRPr="006318D0">
        <w:rPr>
          <w:rFonts w:ascii="Times New Roman" w:hAnsi="Times New Roman" w:cs="Times New Roman"/>
        </w:rPr>
        <w:t>The reconciliation challenge lies in distinguishing between defects that ought to invalidate title absolutely and those that, while serious within the succession context, should not automatically defeat third-party rights acquired in good faith. A calibrated approach would acknowledge that probate disputes primarily concern entitlements among heirs, whereas land registration governs the stability of proprietary interests in the wider market.</w:t>
      </w:r>
    </w:p>
    <w:p w:rsidR="006318D0" w:rsidRPr="006318D0" w:rsidP="00EE3D19" w14:paraId="6C7BEC17" w14:textId="77777777">
      <w:pPr>
        <w:spacing w:line="360" w:lineRule="auto"/>
        <w:jc w:val="both"/>
        <w:rPr>
          <w:rFonts w:ascii="Times New Roman" w:hAnsi="Times New Roman" w:cs="Times New Roman"/>
        </w:rPr>
      </w:pPr>
      <w:r w:rsidRPr="006318D0">
        <w:rPr>
          <w:rFonts w:ascii="Times New Roman" w:hAnsi="Times New Roman" w:cs="Times New Roman"/>
        </w:rPr>
        <w:t>Comparative land systems often address this tension by shifting risk away from innocent purchasers and toward institutional safeguards. In Torrens-based regimes, state indemnity mechanisms and limitation principles operate to ensure that reliance on the register is not rendered illusory. Where courts invalidate transactions due to underlying illegality, compensation structures frequently mitigate the impact on third parties who acted without notice.</w:t>
      </w:r>
    </w:p>
    <w:p w:rsidR="006318D0" w:rsidRPr="006318D0" w:rsidP="00EE3D19" w14:paraId="691D2677" w14:textId="77777777">
      <w:pPr>
        <w:spacing w:line="360" w:lineRule="auto"/>
        <w:jc w:val="both"/>
        <w:rPr>
          <w:rFonts w:ascii="Times New Roman" w:hAnsi="Times New Roman" w:cs="Times New Roman"/>
        </w:rPr>
      </w:pPr>
      <w:r w:rsidRPr="006318D0">
        <w:rPr>
          <w:rFonts w:ascii="Times New Roman" w:hAnsi="Times New Roman" w:cs="Times New Roman"/>
        </w:rPr>
        <w:t>In Kenya’s context, a balanced reconciliation would recognize three core principles. First, fraud and deliberate misrepresentation must attract firm judicial response. Second, defects that are inherently undiscoverable by purchasers should not automatically transfer the entire risk burden to them. Third, the registration system must maintain substantive meaning if it is to function as economic infrastructure.</w:t>
      </w:r>
    </w:p>
    <w:p w:rsidR="006318D0" w:rsidRPr="006318D0" w:rsidP="00EE3D19" w14:paraId="1E5983AA" w14:textId="77777777">
      <w:pPr>
        <w:spacing w:line="360" w:lineRule="auto"/>
        <w:jc w:val="both"/>
        <w:rPr>
          <w:rFonts w:ascii="Times New Roman" w:hAnsi="Times New Roman" w:cs="Times New Roman"/>
        </w:rPr>
      </w:pPr>
      <w:r w:rsidRPr="006318D0">
        <w:rPr>
          <w:rFonts w:ascii="Times New Roman" w:hAnsi="Times New Roman" w:cs="Times New Roman"/>
        </w:rPr>
        <w:t>The objective is not to insulate defective succession processes from scrutiny, but to ensure that remedies are proportionate and systemically sustainable. Without such calibration, the corrective power of succession law may inadvertently erode the certainty that underpins land administration and built environment investment. Achieving coherence between these domains is therefore central to preserving both justice and market stability.</w:t>
      </w:r>
    </w:p>
    <w:p w:rsidR="002617B4" w:rsidRPr="00EE3D19" w:rsidP="00111E66" w14:paraId="501685AA" w14:textId="7DC130D6">
      <w:pPr>
        <w:pStyle w:val="Heading1"/>
        <w:spacing w:line="360" w:lineRule="auto"/>
        <w:jc w:val="center"/>
        <w:rPr>
          <w:rFonts w:ascii="Times New Roman" w:hAnsi="Times New Roman" w:cs="Times New Roman"/>
          <w:b/>
          <w:bCs/>
          <w:color w:val="auto"/>
          <w:sz w:val="28"/>
          <w:szCs w:val="28"/>
        </w:rPr>
      </w:pPr>
      <w:r w:rsidRPr="00EE3D19">
        <w:rPr>
          <w:rFonts w:ascii="Times New Roman" w:hAnsi="Times New Roman" w:cs="Times New Roman"/>
          <w:b/>
          <w:bCs/>
          <w:color w:val="auto"/>
          <w:sz w:val="28"/>
          <w:szCs w:val="28"/>
        </w:rPr>
        <w:t>Policy and Legislative Reform Proposals</w:t>
      </w:r>
    </w:p>
    <w:p w:rsidR="002617B4" w:rsidRPr="002617B4" w:rsidP="00EE3D19" w14:paraId="0B12A619" w14:textId="77777777">
      <w:pPr>
        <w:spacing w:line="360" w:lineRule="auto"/>
        <w:jc w:val="both"/>
        <w:rPr>
          <w:rFonts w:ascii="Times New Roman" w:hAnsi="Times New Roman" w:cs="Times New Roman"/>
        </w:rPr>
      </w:pPr>
      <w:r w:rsidRPr="002617B4">
        <w:rPr>
          <w:rFonts w:ascii="Times New Roman" w:hAnsi="Times New Roman" w:cs="Times New Roman"/>
        </w:rPr>
        <w:t>Addressing the uncertainty arising from succession-derived titles requires calibrated reform that preserves both the integrity of inheritance law and the stability of the registration system. The objective is not to dilute accountability in probate proceedings, but to ensure that third-party reliance on registered title retains substantive protection. Several targeted reforms could help restore equilibrium within Kenya’s land governance framework.</w:t>
      </w:r>
    </w:p>
    <w:p w:rsidR="002617B4" w:rsidRPr="002617B4" w:rsidP="00EE3D19" w14:paraId="36333EA5" w14:textId="4AF6B13E">
      <w:pPr>
        <w:spacing w:line="360" w:lineRule="auto"/>
        <w:jc w:val="both"/>
        <w:rPr>
          <w:rFonts w:ascii="Times New Roman" w:hAnsi="Times New Roman" w:cs="Times New Roman"/>
          <w:b/>
          <w:bCs/>
        </w:rPr>
      </w:pPr>
      <w:r w:rsidRPr="002617B4">
        <w:rPr>
          <w:rFonts w:ascii="Times New Roman" w:hAnsi="Times New Roman" w:cs="Times New Roman"/>
          <w:b/>
          <w:bCs/>
        </w:rPr>
        <w:t>Statutory Limitation Period for Revocation of Confirmed Grants</w:t>
      </w:r>
      <w:r w:rsidRPr="00EE3D19">
        <w:rPr>
          <w:rFonts w:ascii="Times New Roman" w:hAnsi="Times New Roman" w:cs="Times New Roman"/>
          <w:b/>
          <w:bCs/>
        </w:rPr>
        <w:t xml:space="preserve"> - </w:t>
      </w:r>
      <w:r w:rsidRPr="002617B4">
        <w:rPr>
          <w:rFonts w:ascii="Times New Roman" w:hAnsi="Times New Roman" w:cs="Times New Roman"/>
        </w:rPr>
        <w:t>One reform option is the introduction of a statutory limitation period within which confirmed grants affecting immovable property may be challenged. While Section 76 of the Law of Succession Act allows revocation where proceedings were defective or material facts concealed, the absence of temporal boundaries creates prolonged exposure for derivative transactions.</w:t>
      </w:r>
      <w:r w:rsidRPr="00EE3D19">
        <w:rPr>
          <w:rFonts w:ascii="Times New Roman" w:hAnsi="Times New Roman" w:cs="Times New Roman"/>
          <w:b/>
          <w:bCs/>
        </w:rPr>
        <w:t xml:space="preserve"> </w:t>
      </w:r>
      <w:r w:rsidRPr="002617B4">
        <w:rPr>
          <w:rFonts w:ascii="Times New Roman" w:hAnsi="Times New Roman" w:cs="Times New Roman"/>
        </w:rPr>
        <w:t>A defined limitation period—such as ten years from confirmation of grant—except in cases of proven fraud, would introduce certainty without eliminating remedies for serious misconduct. Limitation principles are well established in property law and reflect the need for repose and stability in long-settled transactions. By placing reasonable temporal boundaries on revocation, the law would reduce the risk of indefinite vulnerability of succession-derived titles.</w:t>
      </w:r>
    </w:p>
    <w:p w:rsidR="002617B4" w:rsidRPr="002617B4" w:rsidP="00EE3D19" w14:paraId="2F79ECC8" w14:textId="3B5B7550">
      <w:pPr>
        <w:spacing w:line="360" w:lineRule="auto"/>
        <w:jc w:val="both"/>
        <w:rPr>
          <w:rFonts w:ascii="Times New Roman" w:hAnsi="Times New Roman" w:cs="Times New Roman"/>
          <w:b/>
          <w:bCs/>
        </w:rPr>
      </w:pPr>
      <w:r w:rsidRPr="002617B4">
        <w:rPr>
          <w:rFonts w:ascii="Times New Roman" w:hAnsi="Times New Roman" w:cs="Times New Roman"/>
          <w:b/>
          <w:bCs/>
        </w:rPr>
        <w:t>Strengthening State Indemnity Mechanisms</w:t>
      </w:r>
      <w:r w:rsidRPr="00EE3D19">
        <w:rPr>
          <w:rFonts w:ascii="Times New Roman" w:hAnsi="Times New Roman" w:cs="Times New Roman"/>
          <w:b/>
          <w:bCs/>
        </w:rPr>
        <w:t xml:space="preserve"> - </w:t>
      </w:r>
      <w:r w:rsidRPr="002617B4">
        <w:rPr>
          <w:rFonts w:ascii="Times New Roman" w:hAnsi="Times New Roman" w:cs="Times New Roman"/>
        </w:rPr>
        <w:t>The Torrens-inspired registration model contemplates state-backed assurance where reliance on the register results in loss. In practice, however, indemnity mechanisms in Kenya remain underdeveloped and rarely invoked. Strengthening statutory indemnity provisions under the Land Registration Act would shift systemic risk from innocent purchasers to the state apparatus responsible for maintaining accurate records and processing transmissions.</w:t>
      </w:r>
    </w:p>
    <w:p w:rsidR="002617B4" w:rsidRPr="002617B4" w:rsidP="00EE3D19" w14:paraId="737D6E46" w14:textId="77777777">
      <w:pPr>
        <w:spacing w:line="360" w:lineRule="auto"/>
        <w:jc w:val="both"/>
        <w:rPr>
          <w:rFonts w:ascii="Times New Roman" w:hAnsi="Times New Roman" w:cs="Times New Roman"/>
        </w:rPr>
      </w:pPr>
      <w:r w:rsidRPr="002617B4">
        <w:rPr>
          <w:rFonts w:ascii="Times New Roman" w:hAnsi="Times New Roman" w:cs="Times New Roman"/>
        </w:rPr>
        <w:t>Where courts invalidate titles due to underlying defects not discoverable by third parties, structured compensation mechanisms would preserve confidence in the registration system. Such indemnity would reinforce the principle that reliance on official records is legitimate and that losses arising from institutional processes should not fall exclusively on market actors.</w:t>
      </w:r>
    </w:p>
    <w:p w:rsidR="002617B4" w:rsidRPr="002617B4" w:rsidP="00EE3D19" w14:paraId="4718549A" w14:textId="0A632BB3">
      <w:pPr>
        <w:spacing w:line="360" w:lineRule="auto"/>
        <w:jc w:val="both"/>
        <w:rPr>
          <w:rFonts w:ascii="Times New Roman" w:hAnsi="Times New Roman" w:cs="Times New Roman"/>
          <w:b/>
          <w:bCs/>
        </w:rPr>
      </w:pPr>
      <w:r w:rsidRPr="002617B4">
        <w:rPr>
          <w:rFonts w:ascii="Times New Roman" w:hAnsi="Times New Roman" w:cs="Times New Roman"/>
          <w:b/>
          <w:bCs/>
        </w:rPr>
        <w:t>Probate–Land Registry Integration</w:t>
      </w:r>
      <w:r w:rsidRPr="00EE3D19" w:rsidR="00AD5BB0">
        <w:rPr>
          <w:rFonts w:ascii="Times New Roman" w:hAnsi="Times New Roman" w:cs="Times New Roman"/>
          <w:b/>
          <w:bCs/>
        </w:rPr>
        <w:t xml:space="preserve"> - </w:t>
      </w:r>
      <w:r w:rsidRPr="002617B4">
        <w:rPr>
          <w:rFonts w:ascii="Times New Roman" w:hAnsi="Times New Roman" w:cs="Times New Roman"/>
        </w:rPr>
        <w:t>A structural reform opportunity lies in improving coordination between probate registries and land registries. Currently, the transmission of land following confirmation of a grant is largely document-based, with limited systemic cross-verification. Enhanced digital integration—linking probate proceedings, confirmed grants, and land registration data—could improve transparency and reduce administrative errors.</w:t>
      </w:r>
    </w:p>
    <w:p w:rsidR="002617B4" w:rsidRPr="002617B4" w:rsidP="00EE3D19" w14:paraId="0B7284E5" w14:textId="77777777">
      <w:pPr>
        <w:spacing w:line="360" w:lineRule="auto"/>
        <w:jc w:val="both"/>
        <w:rPr>
          <w:rFonts w:ascii="Times New Roman" w:hAnsi="Times New Roman" w:cs="Times New Roman"/>
        </w:rPr>
      </w:pPr>
      <w:r w:rsidRPr="002617B4">
        <w:rPr>
          <w:rFonts w:ascii="Times New Roman" w:hAnsi="Times New Roman" w:cs="Times New Roman"/>
        </w:rPr>
        <w:t>For example, mandatory digital notification of land registries before revocation orders affecting registered parcels are issued could ensure that derivative interests are identified and addressed proportionately. Integrated systems would also assist in tracking succession-derived parcels and monitoring risk patterns within the land administration framework.</w:t>
      </w:r>
    </w:p>
    <w:p w:rsidR="002617B4" w:rsidRPr="002617B4" w:rsidP="00EE3D19" w14:paraId="7ACBC2CE" w14:textId="55824BAD">
      <w:pPr>
        <w:spacing w:line="360" w:lineRule="auto"/>
        <w:jc w:val="both"/>
        <w:rPr>
          <w:rFonts w:ascii="Times New Roman" w:hAnsi="Times New Roman" w:cs="Times New Roman"/>
          <w:b/>
          <w:bCs/>
        </w:rPr>
      </w:pPr>
      <w:r w:rsidRPr="002617B4">
        <w:rPr>
          <w:rFonts w:ascii="Times New Roman" w:hAnsi="Times New Roman" w:cs="Times New Roman"/>
          <w:b/>
          <w:bCs/>
        </w:rPr>
        <w:t>Administrative Accountability and Verification</w:t>
      </w:r>
      <w:r w:rsidRPr="00EE3D19" w:rsidR="00AD5BB0">
        <w:rPr>
          <w:rFonts w:ascii="Times New Roman" w:hAnsi="Times New Roman" w:cs="Times New Roman"/>
          <w:b/>
          <w:bCs/>
        </w:rPr>
        <w:t xml:space="preserve"> - </w:t>
      </w:r>
      <w:r w:rsidRPr="002617B4">
        <w:rPr>
          <w:rFonts w:ascii="Times New Roman" w:hAnsi="Times New Roman" w:cs="Times New Roman"/>
        </w:rPr>
        <w:t>Succession processes often rely on local administrative verification, including identification of beneficiaries by chiefs or assistant chiefs. Where omissions arise from negligence or collusion, accountability mechanisms should be strengthened. Clear statutory duties, standardized verification protocols, and administrative oversight could reduce the incidence of defective grants at source.</w:t>
      </w:r>
    </w:p>
    <w:p w:rsidR="002617B4" w:rsidRPr="002617B4" w:rsidP="00EE3D19" w14:paraId="75FD603A" w14:textId="77777777">
      <w:pPr>
        <w:spacing w:line="360" w:lineRule="auto"/>
        <w:jc w:val="both"/>
        <w:rPr>
          <w:rFonts w:ascii="Times New Roman" w:hAnsi="Times New Roman" w:cs="Times New Roman"/>
        </w:rPr>
      </w:pPr>
      <w:r w:rsidRPr="002617B4">
        <w:rPr>
          <w:rFonts w:ascii="Times New Roman" w:hAnsi="Times New Roman" w:cs="Times New Roman"/>
        </w:rPr>
        <w:t>Preventive integrity measures are more sustainable than post hoc litigation. By improving the accuracy of beneficiary identification at the initial stage, the likelihood of later revocation—and its downstream effects on registered titles—would diminish.</w:t>
      </w:r>
    </w:p>
    <w:p w:rsidR="002617B4" w:rsidRPr="002617B4" w:rsidP="00EE3D19" w14:paraId="67208387" w14:textId="048B60B4">
      <w:pPr>
        <w:spacing w:line="360" w:lineRule="auto"/>
        <w:jc w:val="both"/>
        <w:rPr>
          <w:rFonts w:ascii="Times New Roman" w:hAnsi="Times New Roman" w:cs="Times New Roman"/>
          <w:b/>
          <w:bCs/>
        </w:rPr>
      </w:pPr>
      <w:r w:rsidRPr="002617B4">
        <w:rPr>
          <w:rFonts w:ascii="Times New Roman" w:hAnsi="Times New Roman" w:cs="Times New Roman"/>
          <w:b/>
          <w:bCs/>
        </w:rPr>
        <w:t>Promotion of Testate Succession and Public Awareness</w:t>
      </w:r>
      <w:r w:rsidRPr="00EE3D19" w:rsidR="00AD5BB0">
        <w:rPr>
          <w:rFonts w:ascii="Times New Roman" w:hAnsi="Times New Roman" w:cs="Times New Roman"/>
          <w:b/>
          <w:bCs/>
        </w:rPr>
        <w:t xml:space="preserve"> - </w:t>
      </w:r>
      <w:r w:rsidRPr="002617B4">
        <w:rPr>
          <w:rFonts w:ascii="Times New Roman" w:hAnsi="Times New Roman" w:cs="Times New Roman"/>
        </w:rPr>
        <w:t xml:space="preserve">A significant proportion of revocation disputes arise in intestate estates, where distribution is contested among surviving relatives. Promoting will </w:t>
      </w:r>
      <w:r w:rsidRPr="002617B4">
        <w:rPr>
          <w:rFonts w:ascii="Times New Roman" w:hAnsi="Times New Roman" w:cs="Times New Roman"/>
        </w:rPr>
        <w:t>writing</w:t>
      </w:r>
      <w:r w:rsidRPr="002617B4">
        <w:rPr>
          <w:rFonts w:ascii="Times New Roman" w:hAnsi="Times New Roman" w:cs="Times New Roman"/>
        </w:rPr>
        <w:t xml:space="preserve"> and increasing public awareness of testate succession could substantially reduce post-distribution conflicts. Structured estate planning clarifies intention, reduces ambiguity, and limits opportunities for concealment or omission.</w:t>
      </w:r>
      <w:r w:rsidRPr="00EE3D19" w:rsidR="00AD5BB0">
        <w:rPr>
          <w:rFonts w:ascii="Times New Roman" w:hAnsi="Times New Roman" w:cs="Times New Roman"/>
        </w:rPr>
        <w:t xml:space="preserve"> </w:t>
      </w:r>
    </w:p>
    <w:p w:rsidR="002617B4" w:rsidRPr="002617B4" w:rsidP="00EE3D19" w14:paraId="6562B998" w14:textId="77777777">
      <w:pPr>
        <w:spacing w:line="360" w:lineRule="auto"/>
        <w:jc w:val="both"/>
        <w:rPr>
          <w:rFonts w:ascii="Times New Roman" w:hAnsi="Times New Roman" w:cs="Times New Roman"/>
        </w:rPr>
      </w:pPr>
      <w:r w:rsidRPr="002617B4">
        <w:rPr>
          <w:rFonts w:ascii="Times New Roman" w:hAnsi="Times New Roman" w:cs="Times New Roman"/>
        </w:rPr>
        <w:t>Collectively, these reforms aim to recalibrate the balance between inheritance justice and registration certainty. By introducing temporal limits, strengthening indemnity protections, improving institutional coordination, and enhancing preventive safeguards, the legal framework can preserve accountability in succession processes while maintaining the reliability essential to Kenya’s land markets and built environment sector.</w:t>
      </w:r>
    </w:p>
    <w:p w:rsidR="00EE3D19" w:rsidRPr="00EE3D19" w:rsidP="00F13D8E" w14:paraId="41F10CE7" w14:textId="239B1CFF">
      <w:pPr>
        <w:pStyle w:val="Heading1"/>
        <w:spacing w:line="360" w:lineRule="auto"/>
        <w:jc w:val="center"/>
        <w:rPr>
          <w:rFonts w:ascii="Times New Roman" w:hAnsi="Times New Roman" w:cs="Times New Roman"/>
          <w:b/>
          <w:bCs/>
          <w:color w:val="auto"/>
          <w:sz w:val="28"/>
          <w:szCs w:val="28"/>
        </w:rPr>
      </w:pPr>
      <w:r w:rsidRPr="00EE3D19">
        <w:rPr>
          <w:rFonts w:ascii="Times New Roman" w:hAnsi="Times New Roman" w:cs="Times New Roman"/>
          <w:b/>
          <w:bCs/>
          <w:color w:val="auto"/>
          <w:sz w:val="28"/>
          <w:szCs w:val="28"/>
        </w:rPr>
        <w:t>Conclusion: Preserving Integrity Without Undermining Certainty</w:t>
      </w:r>
    </w:p>
    <w:p w:rsidR="00EE3D19" w:rsidRPr="00EE3D19" w:rsidP="00EE3D19" w14:paraId="5788E13E" w14:textId="77777777">
      <w:pPr>
        <w:spacing w:line="360" w:lineRule="auto"/>
        <w:jc w:val="both"/>
        <w:rPr>
          <w:rFonts w:ascii="Times New Roman" w:hAnsi="Times New Roman" w:cs="Times New Roman"/>
        </w:rPr>
      </w:pPr>
      <w:r w:rsidRPr="00EE3D19">
        <w:rPr>
          <w:rFonts w:ascii="Times New Roman" w:hAnsi="Times New Roman" w:cs="Times New Roman"/>
        </w:rPr>
        <w:t>The evolution of Kenya’s land jurisprudence, particularly the emphasis that a registered title is only as valid as the process through which it was obtained, reflects a legitimate and necessary commitment to legality in land governance. By affirming that registration cannot cure fraud, misrepresentation, or procedural illegality, the courts have strengthened institutional accountability and reinforced the rule of law within the land administration system.</w:t>
      </w:r>
    </w:p>
    <w:p w:rsidR="00EE3D19" w:rsidRPr="00EE3D19" w:rsidP="00EE3D19" w14:paraId="3935F3DF" w14:textId="77777777">
      <w:pPr>
        <w:spacing w:line="360" w:lineRule="auto"/>
        <w:jc w:val="both"/>
        <w:rPr>
          <w:rFonts w:ascii="Times New Roman" w:hAnsi="Times New Roman" w:cs="Times New Roman"/>
        </w:rPr>
      </w:pPr>
      <w:r w:rsidRPr="00EE3D19">
        <w:rPr>
          <w:rFonts w:ascii="Times New Roman" w:hAnsi="Times New Roman" w:cs="Times New Roman"/>
        </w:rPr>
        <w:t xml:space="preserve">However, when this process-based scrutiny intersects with succession-derived land, it exposes structural vulnerabilities that extend beyond individual inheritance disputes. A significant proportion of land in Kenya is transmitted through probate processes. Where confirmed grants are revoked years after registration, derivative transactions—including those involving innocent </w:t>
      </w:r>
      <w:r w:rsidRPr="00EE3D19">
        <w:rPr>
          <w:rFonts w:ascii="Times New Roman" w:hAnsi="Times New Roman" w:cs="Times New Roman"/>
        </w:rPr>
        <w:t>purchasers—may be destabilized in ways that undermine reliance on the register. The consequences are not confined to private loss. They affect survey practice, professional liability, mortgage security, land liquidity, and the broader confidence necessary for sustained built environment development.</w:t>
      </w:r>
    </w:p>
    <w:p w:rsidR="00EE3D19" w:rsidRPr="00EE3D19" w:rsidP="00EE3D19" w14:paraId="65D97E83" w14:textId="77777777">
      <w:pPr>
        <w:spacing w:line="360" w:lineRule="auto"/>
        <w:jc w:val="both"/>
        <w:rPr>
          <w:rFonts w:ascii="Times New Roman" w:hAnsi="Times New Roman" w:cs="Times New Roman"/>
        </w:rPr>
      </w:pPr>
      <w:r w:rsidRPr="00EE3D19">
        <w:rPr>
          <w:rFonts w:ascii="Times New Roman" w:hAnsi="Times New Roman" w:cs="Times New Roman"/>
        </w:rPr>
        <w:t>The central challenge is therefore one of calibration. Corrective justice for excluded heirs must remain available where fraud or concealment has occurred. Yet the land registration system must also retain substantive meaning. If third parties who conduct reasonable due diligence and rely on official records cannot transact with confidence, the economic infrastructure underpinning land markets is weakened.</w:t>
      </w:r>
    </w:p>
    <w:p w:rsidR="00EE3D19" w:rsidRPr="00EE3D19" w:rsidP="00EE3D19" w14:paraId="63D752E3" w14:textId="77777777">
      <w:pPr>
        <w:spacing w:line="360" w:lineRule="auto"/>
        <w:jc w:val="both"/>
        <w:rPr>
          <w:rFonts w:ascii="Times New Roman" w:hAnsi="Times New Roman" w:cs="Times New Roman"/>
        </w:rPr>
      </w:pPr>
      <w:r w:rsidRPr="00EE3D19">
        <w:rPr>
          <w:rFonts w:ascii="Times New Roman" w:hAnsi="Times New Roman" w:cs="Times New Roman"/>
        </w:rPr>
        <w:t>A coherent reconciliation between succession law and registration principles is both possible and necessary. Temporal limitation of revocation powers, strengthened state indemnity, improved institutional integration between probate and land registries, and enhanced administrative safeguards can collectively preserve integrity without sacrificing certainty. Such reforms would not dilute accountability; rather, they would distribute risk more proportionately and sustain confidence in the system as a whole.</w:t>
      </w:r>
    </w:p>
    <w:p w:rsidR="00EE3D19" w:rsidRPr="00EE3D19" w:rsidP="00EE3D19" w14:paraId="5693AC80" w14:textId="77777777">
      <w:pPr>
        <w:spacing w:line="360" w:lineRule="auto"/>
        <w:jc w:val="both"/>
        <w:rPr>
          <w:rFonts w:ascii="Times New Roman" w:hAnsi="Times New Roman" w:cs="Times New Roman"/>
        </w:rPr>
      </w:pPr>
      <w:r w:rsidRPr="00EE3D19">
        <w:rPr>
          <w:rFonts w:ascii="Times New Roman" w:hAnsi="Times New Roman" w:cs="Times New Roman"/>
        </w:rPr>
        <w:t>Ultimately, land registration serves a dual purpose: to protect lawful entitlements and to facilitate economic activity. Ensuring that both objectives are advanced—without one undermining the other—is essential to maintaining a stable, credible, and development-oriented land governance framework in Kenya.</w:t>
      </w:r>
    </w:p>
    <w:p w:rsidR="00BC6856" w14:paraId="0EE34EF0" w14:textId="77777777"/>
    <w:p w:rsidR="00C85105" w14:paraId="34AA81F6" w14:textId="77777777"/>
    <w:p w:rsidR="00C85105" w14:paraId="5314F8D8" w14:textId="77777777"/>
    <w:p w:rsidR="00C85105" w14:paraId="71FF9A5D" w14:textId="77777777"/>
    <w:p w:rsidR="00C85105" w14:paraId="10393443" w14:textId="77777777"/>
    <w:p w:rsidR="00C85105" w14:paraId="19C73E33" w14:textId="77777777"/>
    <w:p w:rsidR="00C85105" w14:paraId="1118029F" w14:textId="77777777"/>
    <w:p w:rsidR="00C85105" w14:paraId="07F4C49C" w14:textId="77777777"/>
    <w:p w:rsidR="00C85105" w14:paraId="0304A01A" w14:textId="77777777"/>
    <w:p w:rsidR="00C85105" w:rsidRPr="00F13D8E" w:rsidP="00F13D8E" w14:paraId="0CDCE631" w14:textId="64F92346">
      <w:pPr>
        <w:pStyle w:val="Heading1"/>
        <w:jc w:val="center"/>
        <w:rPr>
          <w:rFonts w:ascii="Times New Roman" w:hAnsi="Times New Roman" w:cs="Times New Roman"/>
          <w:b/>
          <w:bCs/>
          <w:color w:val="auto"/>
          <w:sz w:val="28"/>
          <w:szCs w:val="28"/>
        </w:rPr>
      </w:pPr>
      <w:r w:rsidRPr="00F13D8E">
        <w:rPr>
          <w:rFonts w:ascii="Times New Roman" w:hAnsi="Times New Roman" w:cs="Times New Roman"/>
          <w:b/>
          <w:bCs/>
          <w:color w:val="auto"/>
          <w:sz w:val="28"/>
          <w:szCs w:val="28"/>
        </w:rPr>
        <w:t>REF</w:t>
      </w:r>
      <w:r w:rsidRPr="00F13D8E" w:rsidR="00F13D8E">
        <w:rPr>
          <w:rFonts w:ascii="Times New Roman" w:hAnsi="Times New Roman" w:cs="Times New Roman"/>
          <w:b/>
          <w:bCs/>
          <w:color w:val="auto"/>
          <w:sz w:val="28"/>
          <w:szCs w:val="28"/>
        </w:rPr>
        <w:t>E</w:t>
      </w:r>
      <w:r w:rsidRPr="00F13D8E">
        <w:rPr>
          <w:rFonts w:ascii="Times New Roman" w:hAnsi="Times New Roman" w:cs="Times New Roman"/>
          <w:b/>
          <w:bCs/>
          <w:color w:val="auto"/>
          <w:sz w:val="28"/>
          <w:szCs w:val="28"/>
        </w:rPr>
        <w:t>RENCES</w:t>
      </w:r>
    </w:p>
    <w:p w:rsidR="000E2B41" w14:paraId="011B70E1" w14:textId="77777777">
      <w:pPr>
        <w:rPr>
          <w:rFonts w:ascii="Times New Roman" w:hAnsi="Times New Roman" w:cs="Times New Roman"/>
        </w:rPr>
      </w:pPr>
      <w:r w:rsidRPr="00111E66">
        <w:rPr>
          <w:rFonts w:ascii="Times New Roman" w:hAnsi="Times New Roman" w:cs="Times New Roman"/>
        </w:rPr>
        <w:t>Manji, A. (2020). </w:t>
      </w:r>
      <w:r w:rsidRPr="00111E66">
        <w:rPr>
          <w:rFonts w:ascii="Times New Roman" w:hAnsi="Times New Roman" w:cs="Times New Roman"/>
          <w:i/>
          <w:iCs/>
        </w:rPr>
        <w:t>The struggle for land and justice in Kenya</w:t>
      </w:r>
      <w:r w:rsidRPr="00111E66">
        <w:rPr>
          <w:rFonts w:ascii="Times New Roman" w:hAnsi="Times New Roman" w:cs="Times New Roman"/>
        </w:rPr>
        <w:t> (Vol. 49). Boydell &amp; Brewer.</w:t>
      </w:r>
    </w:p>
    <w:p w:rsidR="000E2B41" w14:paraId="14C62748" w14:textId="77777777">
      <w:pPr>
        <w:rPr>
          <w:rFonts w:ascii="Times New Roman" w:hAnsi="Times New Roman" w:cs="Times New Roman"/>
        </w:rPr>
      </w:pPr>
      <w:r w:rsidRPr="003A70ED">
        <w:rPr>
          <w:rFonts w:ascii="Times New Roman" w:hAnsi="Times New Roman" w:cs="Times New Roman"/>
        </w:rPr>
        <w:t>Maranga, J. (2025). Implications of Generational Land Sub-Division and Inheritance on Sustainable Development in Kenya. </w:t>
      </w:r>
      <w:r w:rsidRPr="003A70ED">
        <w:rPr>
          <w:rFonts w:ascii="Times New Roman" w:hAnsi="Times New Roman" w:cs="Times New Roman"/>
          <w:i/>
          <w:iCs/>
        </w:rPr>
        <w:t>International Journal of Research in Humanities and Social Studies</w:t>
      </w:r>
      <w:r w:rsidRPr="003A70ED">
        <w:rPr>
          <w:rFonts w:ascii="Times New Roman" w:hAnsi="Times New Roman" w:cs="Times New Roman"/>
        </w:rPr>
        <w:t>, 31-43.</w:t>
      </w:r>
    </w:p>
    <w:p w:rsidR="000E2B41" w14:paraId="10DDA9D6" w14:textId="77777777">
      <w:pPr>
        <w:rPr>
          <w:rFonts w:ascii="Times New Roman" w:hAnsi="Times New Roman" w:cs="Times New Roman"/>
        </w:rPr>
      </w:pPr>
      <w:r w:rsidRPr="002A23B3">
        <w:rPr>
          <w:rFonts w:ascii="Times New Roman" w:hAnsi="Times New Roman" w:cs="Times New Roman"/>
        </w:rPr>
        <w:t>Mbaye, L. P. (2024). Assessing the Dynamics of Land Corruption in Kenya: Causes, Consequences, and Remedial Strategies. </w:t>
      </w:r>
      <w:r w:rsidRPr="002A23B3">
        <w:rPr>
          <w:rFonts w:ascii="Times New Roman" w:hAnsi="Times New Roman" w:cs="Times New Roman"/>
          <w:i/>
          <w:iCs/>
        </w:rPr>
        <w:t>Lucky Philomena Mbaye,'</w:t>
      </w:r>
      <w:r>
        <w:rPr>
          <w:rFonts w:ascii="Times New Roman" w:hAnsi="Times New Roman" w:cs="Times New Roman"/>
          <w:i/>
          <w:iCs/>
        </w:rPr>
        <w:t xml:space="preserve"> </w:t>
      </w:r>
      <w:r w:rsidRPr="002A23B3">
        <w:rPr>
          <w:rFonts w:ascii="Times New Roman" w:hAnsi="Times New Roman" w:cs="Times New Roman"/>
          <w:i/>
          <w:iCs/>
        </w:rPr>
        <w:t>Assessing the Dynamics of Land Corruption in Kenya: Causes, Consequences, and Remedial Strategies'(2024) Journal of Appropriate Dispute Resolution and Sustainability</w:t>
      </w:r>
      <w:r w:rsidRPr="002A23B3">
        <w:rPr>
          <w:rFonts w:ascii="Times New Roman" w:hAnsi="Times New Roman" w:cs="Times New Roman"/>
        </w:rPr>
        <w:t>, </w:t>
      </w:r>
      <w:r w:rsidRPr="002A23B3">
        <w:rPr>
          <w:rFonts w:ascii="Times New Roman" w:hAnsi="Times New Roman" w:cs="Times New Roman"/>
          <w:i/>
          <w:iCs/>
        </w:rPr>
        <w:t>1</w:t>
      </w:r>
      <w:r w:rsidRPr="002A23B3">
        <w:rPr>
          <w:rFonts w:ascii="Times New Roman" w:hAnsi="Times New Roman" w:cs="Times New Roman"/>
        </w:rPr>
        <w:t>(2).</w:t>
      </w:r>
    </w:p>
    <w:p w:rsidR="000E2B41" w14:paraId="22C929F5" w14:textId="77777777">
      <w:pPr>
        <w:rPr>
          <w:rFonts w:ascii="Times New Roman" w:hAnsi="Times New Roman" w:cs="Times New Roman"/>
        </w:rPr>
      </w:pPr>
      <w:r w:rsidRPr="00F13D8E">
        <w:rPr>
          <w:rFonts w:ascii="Times New Roman" w:hAnsi="Times New Roman" w:cs="Times New Roman"/>
        </w:rPr>
        <w:t xml:space="preserve">Murigu, J. (2022). Land Tenure Systems and Sustainable Land Management </w:t>
      </w:r>
      <w:r>
        <w:rPr>
          <w:rFonts w:ascii="Times New Roman" w:hAnsi="Times New Roman" w:cs="Times New Roman"/>
        </w:rPr>
        <w:t>w</w:t>
      </w:r>
      <w:r w:rsidRPr="00F13D8E">
        <w:rPr>
          <w:rFonts w:ascii="Times New Roman" w:hAnsi="Times New Roman" w:cs="Times New Roman"/>
        </w:rPr>
        <w:t>ith Special Reference to the Kenyan Rural Areas. In </w:t>
      </w:r>
      <w:r w:rsidRPr="00F13D8E">
        <w:rPr>
          <w:rFonts w:ascii="Times New Roman" w:hAnsi="Times New Roman" w:cs="Times New Roman"/>
          <w:i/>
          <w:iCs/>
        </w:rPr>
        <w:t>Understanding African Real Estate Markets</w:t>
      </w:r>
      <w:r w:rsidRPr="00F13D8E">
        <w:rPr>
          <w:rFonts w:ascii="Times New Roman" w:hAnsi="Times New Roman" w:cs="Times New Roman"/>
        </w:rPr>
        <w:t> (pp. 48-62). Routledge.</w:t>
      </w:r>
      <w:r>
        <w:rPr>
          <w:rFonts w:ascii="Times New Roman" w:hAnsi="Times New Roman" w:cs="Times New Roman"/>
        </w:rPr>
        <w:t xml:space="preserve"> </w:t>
      </w:r>
    </w:p>
    <w:p w:rsidR="000E2B41" w14:paraId="1A5B6879" w14:textId="77777777">
      <w:pPr>
        <w:rPr>
          <w:rFonts w:ascii="Times New Roman" w:hAnsi="Times New Roman" w:cs="Times New Roman"/>
        </w:rPr>
      </w:pPr>
      <w:r w:rsidRPr="008072D6">
        <w:rPr>
          <w:rFonts w:ascii="Times New Roman" w:hAnsi="Times New Roman" w:cs="Times New Roman"/>
        </w:rPr>
        <w:t>Mutahi, S. (2023). Indefeasibility of Title and Adverse Possession in Kenya: An Uneasy Relationship? </w:t>
      </w:r>
      <w:r w:rsidRPr="008072D6">
        <w:rPr>
          <w:rFonts w:ascii="Times New Roman" w:hAnsi="Times New Roman" w:cs="Times New Roman"/>
          <w:i/>
          <w:iCs/>
        </w:rPr>
        <w:t>Strathmore LJ</w:t>
      </w:r>
      <w:r w:rsidRPr="008072D6">
        <w:rPr>
          <w:rFonts w:ascii="Times New Roman" w:hAnsi="Times New Roman" w:cs="Times New Roman"/>
        </w:rPr>
        <w:t>, </w:t>
      </w:r>
      <w:r w:rsidRPr="008072D6">
        <w:rPr>
          <w:rFonts w:ascii="Times New Roman" w:hAnsi="Times New Roman" w:cs="Times New Roman"/>
          <w:i/>
          <w:iCs/>
        </w:rPr>
        <w:t>7</w:t>
      </w:r>
      <w:r w:rsidRPr="008072D6">
        <w:rPr>
          <w:rFonts w:ascii="Times New Roman" w:hAnsi="Times New Roman" w:cs="Times New Roman"/>
        </w:rPr>
        <w:t>, 73.</w:t>
      </w:r>
    </w:p>
    <w:p w:rsidR="000E2B41" w14:paraId="3FC3983A" w14:textId="77777777">
      <w:pPr>
        <w:rPr>
          <w:rFonts w:ascii="Times New Roman" w:hAnsi="Times New Roman" w:cs="Times New Roman"/>
        </w:rPr>
      </w:pPr>
      <w:r w:rsidRPr="003A70ED">
        <w:rPr>
          <w:rFonts w:ascii="Times New Roman" w:hAnsi="Times New Roman" w:cs="Times New Roman"/>
        </w:rPr>
        <w:t>Omwoma</w:t>
      </w:r>
      <w:r w:rsidRPr="003A70ED">
        <w:rPr>
          <w:rFonts w:ascii="Times New Roman" w:hAnsi="Times New Roman" w:cs="Times New Roman"/>
        </w:rPr>
        <w:t>, R. M. (2015). Land succession in Kenya: Theory and Practice. In </w:t>
      </w:r>
      <w:r w:rsidRPr="003A70ED">
        <w:rPr>
          <w:rFonts w:ascii="Times New Roman" w:hAnsi="Times New Roman" w:cs="Times New Roman"/>
          <w:i/>
          <w:iCs/>
        </w:rPr>
        <w:t>the Institution of Surveyors of Kenya (ISK). South Rift Seminar on Saturday, 24th October</w:t>
      </w:r>
      <w:r w:rsidRPr="003A70ED">
        <w:rPr>
          <w:rFonts w:ascii="Times New Roman" w:hAnsi="Times New Roman" w:cs="Times New Roman"/>
        </w:rPr>
        <w:t>.</w:t>
      </w:r>
    </w:p>
    <w:p w:rsidR="000E2B41" w14:paraId="4DB3B5FC" w14:textId="77777777">
      <w:pPr>
        <w:rPr>
          <w:rFonts w:ascii="Times New Roman" w:hAnsi="Times New Roman" w:cs="Times New Roman"/>
        </w:rPr>
      </w:pPr>
      <w:r w:rsidRPr="008072D6">
        <w:rPr>
          <w:rFonts w:ascii="Times New Roman" w:hAnsi="Times New Roman" w:cs="Times New Roman"/>
        </w:rPr>
        <w:t>Ouma, A. (2025). Good Faith, Bad Fate: A Critique of Dina Management Decision on Limits of Constitutional Property Rights Protections in Kenya. </w:t>
      </w:r>
      <w:r w:rsidRPr="008072D6">
        <w:rPr>
          <w:rFonts w:ascii="Times New Roman" w:hAnsi="Times New Roman" w:cs="Times New Roman"/>
          <w:i/>
          <w:iCs/>
        </w:rPr>
        <w:t>Strathmore Law Review</w:t>
      </w:r>
      <w:r w:rsidRPr="008072D6">
        <w:rPr>
          <w:rFonts w:ascii="Times New Roman" w:hAnsi="Times New Roman" w:cs="Times New Roman"/>
        </w:rPr>
        <w:t>, </w:t>
      </w:r>
      <w:r w:rsidRPr="008072D6">
        <w:rPr>
          <w:rFonts w:ascii="Times New Roman" w:hAnsi="Times New Roman" w:cs="Times New Roman"/>
          <w:i/>
          <w:iCs/>
        </w:rPr>
        <w:t>10</w:t>
      </w:r>
      <w:r w:rsidRPr="008072D6">
        <w:rPr>
          <w:rFonts w:ascii="Times New Roman" w:hAnsi="Times New Roman" w:cs="Times New Roman"/>
        </w:rPr>
        <w:t>(1), 93-125.</w:t>
      </w:r>
    </w:p>
    <w:p w:rsidR="000E2B41" w:rsidRPr="00F13D8E" w14:paraId="02595CAB" w14:textId="77777777">
      <w:pPr>
        <w:rPr>
          <w:rFonts w:ascii="Times New Roman" w:hAnsi="Times New Roman" w:cs="Times New Roman"/>
        </w:rPr>
      </w:pPr>
      <w:r w:rsidRPr="00F13D8E">
        <w:rPr>
          <w:rFonts w:ascii="Times New Roman" w:hAnsi="Times New Roman" w:cs="Times New Roman"/>
        </w:rPr>
        <w:t>Stellamaris, O. K. (2019). The status of tenure security in Kenya. </w:t>
      </w:r>
      <w:r w:rsidRPr="00F13D8E">
        <w:rPr>
          <w:rFonts w:ascii="Times New Roman" w:hAnsi="Times New Roman" w:cs="Times New Roman"/>
          <w:i/>
          <w:iCs/>
        </w:rPr>
        <w:t>Research paper. Available via ResearchGate</w:t>
      </w:r>
      <w:r w:rsidRPr="00F13D8E">
        <w:rPr>
          <w:rFonts w:ascii="Times New Roman" w:hAnsi="Times New Roman" w:cs="Times New Roman"/>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F4"/>
    <w:rsid w:val="00014A7C"/>
    <w:rsid w:val="000314F4"/>
    <w:rsid w:val="00054B2F"/>
    <w:rsid w:val="00056F6C"/>
    <w:rsid w:val="0009100D"/>
    <w:rsid w:val="00097FAE"/>
    <w:rsid w:val="000A24F7"/>
    <w:rsid w:val="000C0851"/>
    <w:rsid w:val="000E2B41"/>
    <w:rsid w:val="00111E66"/>
    <w:rsid w:val="00165B5F"/>
    <w:rsid w:val="001A277B"/>
    <w:rsid w:val="002617B4"/>
    <w:rsid w:val="00294ED8"/>
    <w:rsid w:val="00295C23"/>
    <w:rsid w:val="002A23B3"/>
    <w:rsid w:val="002B1CAD"/>
    <w:rsid w:val="002D7D5D"/>
    <w:rsid w:val="003A70ED"/>
    <w:rsid w:val="003B6319"/>
    <w:rsid w:val="003D387D"/>
    <w:rsid w:val="00442598"/>
    <w:rsid w:val="0055394F"/>
    <w:rsid w:val="005866DF"/>
    <w:rsid w:val="005E1CB2"/>
    <w:rsid w:val="006318D0"/>
    <w:rsid w:val="0063506B"/>
    <w:rsid w:val="006367C4"/>
    <w:rsid w:val="006966B3"/>
    <w:rsid w:val="006F4373"/>
    <w:rsid w:val="007343FC"/>
    <w:rsid w:val="007831F4"/>
    <w:rsid w:val="007B1180"/>
    <w:rsid w:val="007D5165"/>
    <w:rsid w:val="008072D6"/>
    <w:rsid w:val="008079B8"/>
    <w:rsid w:val="00823E75"/>
    <w:rsid w:val="00842377"/>
    <w:rsid w:val="00844822"/>
    <w:rsid w:val="00975A41"/>
    <w:rsid w:val="00A0387D"/>
    <w:rsid w:val="00A953A6"/>
    <w:rsid w:val="00AD5BB0"/>
    <w:rsid w:val="00AE412A"/>
    <w:rsid w:val="00B63DF8"/>
    <w:rsid w:val="00BB5C3A"/>
    <w:rsid w:val="00BC1216"/>
    <w:rsid w:val="00BC6856"/>
    <w:rsid w:val="00C11EA6"/>
    <w:rsid w:val="00C47289"/>
    <w:rsid w:val="00C75DA6"/>
    <w:rsid w:val="00C81AC3"/>
    <w:rsid w:val="00C85105"/>
    <w:rsid w:val="00D453B7"/>
    <w:rsid w:val="00D551DA"/>
    <w:rsid w:val="00D67934"/>
    <w:rsid w:val="00DC5A3C"/>
    <w:rsid w:val="00DD5023"/>
    <w:rsid w:val="00DE0953"/>
    <w:rsid w:val="00E75DA3"/>
    <w:rsid w:val="00EA1CE6"/>
    <w:rsid w:val="00EA412F"/>
    <w:rsid w:val="00EE3D19"/>
    <w:rsid w:val="00F13D8E"/>
    <w:rsid w:val="00F2036F"/>
    <w:rsid w:val="00F266BD"/>
    <w:rsid w:val="00F46707"/>
    <w:rsid w:val="00F756DD"/>
    <w:rsid w:val="00FB2B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17FB6"/>
  <w15:chartTrackingRefBased/>
  <w15:docId w15:val="{A22AE167-9C3B-482C-B58F-E1904E1E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1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14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14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14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1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4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14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14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14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14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1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4F4"/>
    <w:rPr>
      <w:rFonts w:eastAsiaTheme="majorEastAsia" w:cstheme="majorBidi"/>
      <w:color w:val="272727" w:themeColor="text1" w:themeTint="D8"/>
    </w:rPr>
  </w:style>
  <w:style w:type="paragraph" w:styleId="Title">
    <w:name w:val="Title"/>
    <w:basedOn w:val="Normal"/>
    <w:next w:val="Normal"/>
    <w:link w:val="TitleChar"/>
    <w:uiPriority w:val="10"/>
    <w:qFormat/>
    <w:rsid w:val="00031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4F4"/>
    <w:pPr>
      <w:spacing w:before="160"/>
      <w:jc w:val="center"/>
    </w:pPr>
    <w:rPr>
      <w:i/>
      <w:iCs/>
      <w:color w:val="404040" w:themeColor="text1" w:themeTint="BF"/>
    </w:rPr>
  </w:style>
  <w:style w:type="character" w:customStyle="1" w:styleId="QuoteChar">
    <w:name w:val="Quote Char"/>
    <w:basedOn w:val="DefaultParagraphFont"/>
    <w:link w:val="Quote"/>
    <w:uiPriority w:val="29"/>
    <w:rsid w:val="000314F4"/>
    <w:rPr>
      <w:i/>
      <w:iCs/>
      <w:color w:val="404040" w:themeColor="text1" w:themeTint="BF"/>
    </w:rPr>
  </w:style>
  <w:style w:type="paragraph" w:styleId="ListParagraph">
    <w:name w:val="List Paragraph"/>
    <w:basedOn w:val="Normal"/>
    <w:uiPriority w:val="34"/>
    <w:qFormat/>
    <w:rsid w:val="000314F4"/>
    <w:pPr>
      <w:ind w:left="720"/>
      <w:contextualSpacing/>
    </w:pPr>
  </w:style>
  <w:style w:type="character" w:styleId="IntenseEmphasis">
    <w:name w:val="Intense Emphasis"/>
    <w:basedOn w:val="DefaultParagraphFont"/>
    <w:uiPriority w:val="21"/>
    <w:qFormat/>
    <w:rsid w:val="000314F4"/>
    <w:rPr>
      <w:i/>
      <w:iCs/>
      <w:color w:val="2F5496" w:themeColor="accent1" w:themeShade="BF"/>
    </w:rPr>
  </w:style>
  <w:style w:type="paragraph" w:styleId="IntenseQuote">
    <w:name w:val="Intense Quote"/>
    <w:basedOn w:val="Normal"/>
    <w:next w:val="Normal"/>
    <w:link w:val="IntenseQuoteChar"/>
    <w:uiPriority w:val="30"/>
    <w:qFormat/>
    <w:rsid w:val="00031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14F4"/>
    <w:rPr>
      <w:i/>
      <w:iCs/>
      <w:color w:val="2F5496" w:themeColor="accent1" w:themeShade="BF"/>
    </w:rPr>
  </w:style>
  <w:style w:type="character" w:styleId="IntenseReference">
    <w:name w:val="Intense Reference"/>
    <w:basedOn w:val="DefaultParagraphFont"/>
    <w:uiPriority w:val="32"/>
    <w:qFormat/>
    <w:rsid w:val="000314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15</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Murimi</dc:creator>
  <cp:lastModifiedBy>John Murimi</cp:lastModifiedBy>
  <cp:revision>15</cp:revision>
  <dcterms:created xsi:type="dcterms:W3CDTF">2026-02-19T08:15:00Z</dcterms:created>
  <dcterms:modified xsi:type="dcterms:W3CDTF">2026-02-19T09:52:00Z</dcterms:modified>
</cp:coreProperties>
</file>